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EC6D" w14:textId="77777777" w:rsidR="00F2033D" w:rsidRPr="008D3433" w:rsidRDefault="00F2033D" w:rsidP="00BA732A">
      <w:pPr>
        <w:pStyle w:val="Default"/>
        <w:rPr>
          <w:sz w:val="32"/>
          <w:szCs w:val="32"/>
        </w:rPr>
      </w:pPr>
      <w:bookmarkStart w:id="0" w:name="_GoBack"/>
    </w:p>
    <w:p w14:paraId="0700EC6E" w14:textId="028E2AAA" w:rsidR="006072FF" w:rsidRPr="008D3433" w:rsidRDefault="008D3433" w:rsidP="000E1496">
      <w:pPr>
        <w:jc w:val="center"/>
        <w:rPr>
          <w:b/>
          <w:sz w:val="32"/>
          <w:szCs w:val="32"/>
        </w:rPr>
      </w:pPr>
      <w:r w:rsidRPr="008D3433">
        <w:rPr>
          <w:b/>
          <w:sz w:val="32"/>
          <w:szCs w:val="32"/>
        </w:rPr>
        <w:t xml:space="preserve">A Simple Risk Matrix </w:t>
      </w:r>
    </w:p>
    <w:tbl>
      <w:tblPr>
        <w:tblStyle w:val="TableProfessional"/>
        <w:tblpPr w:leftFromText="180" w:rightFromText="180" w:vertAnchor="text" w:tblpX="108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"/>
        <w:gridCol w:w="1340"/>
        <w:gridCol w:w="6"/>
        <w:gridCol w:w="1566"/>
        <w:gridCol w:w="2847"/>
        <w:gridCol w:w="10"/>
        <w:gridCol w:w="1987"/>
        <w:gridCol w:w="20"/>
        <w:gridCol w:w="780"/>
        <w:gridCol w:w="22"/>
        <w:gridCol w:w="825"/>
        <w:gridCol w:w="23"/>
        <w:gridCol w:w="766"/>
        <w:gridCol w:w="8"/>
        <w:gridCol w:w="786"/>
        <w:gridCol w:w="10"/>
        <w:gridCol w:w="912"/>
        <w:gridCol w:w="1458"/>
      </w:tblGrid>
      <w:tr w:rsidR="00EF222B" w:rsidRPr="00150BD9" w14:paraId="0700ECA5" w14:textId="77777777" w:rsidTr="00E968C3">
        <w:trPr>
          <w:cantSplit/>
          <w:trHeight w:val="777"/>
          <w:tblHeader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bookmarkEnd w:id="0"/>
          <w:p w14:paraId="0700EC6F" w14:textId="77777777" w:rsidR="00D31A49" w:rsidRDefault="00D31A49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50BD9">
              <w:rPr>
                <w:b/>
                <w:bCs/>
                <w:sz w:val="16"/>
                <w:szCs w:val="16"/>
              </w:rPr>
              <w:lastRenderedPageBreak/>
              <w:t>Count</w:t>
            </w:r>
          </w:p>
          <w:p w14:paraId="0700EC70" w14:textId="77777777" w:rsidR="00E968C3" w:rsidRPr="00150BD9" w:rsidRDefault="00E968C3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71" w14:textId="77777777" w:rsidR="00D31A49" w:rsidRPr="00150BD9" w:rsidRDefault="00D31A49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50BD9">
              <w:rPr>
                <w:b/>
                <w:bCs/>
                <w:sz w:val="16"/>
                <w:szCs w:val="16"/>
              </w:rPr>
              <w:t>Topic</w:t>
            </w:r>
          </w:p>
          <w:p w14:paraId="0700EC72" w14:textId="77777777" w:rsidR="00D31A49" w:rsidRPr="00150BD9" w:rsidRDefault="00D31A49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73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Rule/</w:t>
            </w:r>
          </w:p>
          <w:p w14:paraId="0700EC74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Policy/</w:t>
            </w:r>
          </w:p>
          <w:p w14:paraId="0700EC75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Procedure</w:t>
            </w:r>
          </w:p>
          <w:p w14:paraId="0700EC76" w14:textId="77777777" w:rsidR="00D31A49" w:rsidRPr="00150BD9" w:rsidRDefault="00D31A49" w:rsidP="00E968C3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77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Risk/Exposure</w:t>
            </w:r>
          </w:p>
          <w:p w14:paraId="0700EC78" w14:textId="77777777" w:rsidR="00D31A49" w:rsidRPr="00150BD9" w:rsidRDefault="00D31A49" w:rsidP="00E968C3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79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sz w:val="16"/>
                <w:szCs w:val="16"/>
              </w:rPr>
              <w:t xml:space="preserve">Current Controls in Place to Mitigate </w:t>
            </w:r>
            <w:r w:rsidRPr="00475536">
              <w:rPr>
                <w:b/>
                <w:bCs/>
                <w:sz w:val="16"/>
                <w:szCs w:val="16"/>
              </w:rPr>
              <w:t>Risk</w:t>
            </w:r>
          </w:p>
          <w:p w14:paraId="0700EC7A" w14:textId="77777777" w:rsidR="00D31A49" w:rsidRPr="00150BD9" w:rsidRDefault="00D31A49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700EC7B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(Reduction/</w:t>
            </w:r>
          </w:p>
          <w:p w14:paraId="0700EC7C" w14:textId="77777777" w:rsidR="00D31A49" w:rsidRPr="00150BD9" w:rsidRDefault="00475536" w:rsidP="00510E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Addition to Points)</w:t>
            </w:r>
          </w:p>
          <w:p w14:paraId="0700EC7D" w14:textId="77777777" w:rsidR="00D31A49" w:rsidRPr="00150BD9" w:rsidRDefault="00D31A49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7E" w14:textId="77777777" w:rsidR="00D31A49" w:rsidRPr="00150BD9" w:rsidRDefault="00475536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ind w:hanging="29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Controls</w:t>
            </w:r>
          </w:p>
          <w:p w14:paraId="0700EC7F" w14:textId="77777777" w:rsidR="00D31A49" w:rsidRPr="00150BD9" w:rsidRDefault="00D31A49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ind w:hanging="29"/>
              <w:jc w:val="center"/>
              <w:rPr>
                <w:bCs/>
                <w:sz w:val="16"/>
                <w:szCs w:val="16"/>
              </w:rPr>
            </w:pPr>
          </w:p>
          <w:p w14:paraId="0700EC80" w14:textId="77777777" w:rsidR="00D31A49" w:rsidRPr="00150BD9" w:rsidRDefault="00D31A49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ind w:hanging="29"/>
              <w:jc w:val="center"/>
              <w:rPr>
                <w:bCs/>
                <w:sz w:val="16"/>
                <w:szCs w:val="16"/>
              </w:rPr>
            </w:pPr>
          </w:p>
          <w:p w14:paraId="0700EC81" w14:textId="77777777" w:rsidR="00D31A49" w:rsidRPr="00150BD9" w:rsidRDefault="00D31A49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ind w:hanging="29"/>
              <w:jc w:val="center"/>
              <w:rPr>
                <w:bCs/>
                <w:sz w:val="16"/>
                <w:szCs w:val="16"/>
              </w:rPr>
            </w:pPr>
          </w:p>
          <w:p w14:paraId="0700EC82" w14:textId="77777777" w:rsidR="00D31A49" w:rsidRPr="00150BD9" w:rsidRDefault="00D31A49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ind w:hanging="29"/>
              <w:jc w:val="center"/>
              <w:rPr>
                <w:bCs/>
                <w:sz w:val="16"/>
                <w:szCs w:val="16"/>
              </w:rPr>
            </w:pPr>
          </w:p>
          <w:p w14:paraId="0700EC83" w14:textId="77777777" w:rsidR="00D31A49" w:rsidRPr="00150BD9" w:rsidRDefault="00475536" w:rsidP="00E968C3">
            <w:pPr>
              <w:tabs>
                <w:tab w:val="left" w:pos="-110"/>
              </w:tabs>
              <w:autoSpaceDE w:val="0"/>
              <w:autoSpaceDN w:val="0"/>
              <w:adjustRightInd w:val="0"/>
              <w:ind w:hanging="29"/>
              <w:jc w:val="center"/>
              <w:rPr>
                <w:bCs/>
                <w:sz w:val="14"/>
                <w:szCs w:val="14"/>
              </w:rPr>
            </w:pPr>
            <w:r w:rsidRPr="00475536">
              <w:rPr>
                <w:bCs/>
                <w:sz w:val="14"/>
                <w:szCs w:val="14"/>
              </w:rPr>
              <w:t>Yes = (2)</w:t>
            </w:r>
          </w:p>
          <w:p w14:paraId="0700EC84" w14:textId="77777777" w:rsidR="00D31A49" w:rsidRPr="00150BD9" w:rsidRDefault="00475536" w:rsidP="00E968C3">
            <w:pPr>
              <w:autoSpaceDE w:val="0"/>
              <w:autoSpaceDN w:val="0"/>
              <w:adjustRightInd w:val="0"/>
              <w:ind w:hanging="29"/>
              <w:jc w:val="center"/>
              <w:rPr>
                <w:bCs/>
                <w:sz w:val="16"/>
                <w:szCs w:val="16"/>
              </w:rPr>
            </w:pPr>
            <w:r w:rsidRPr="00475536">
              <w:rPr>
                <w:bCs/>
                <w:sz w:val="14"/>
                <w:szCs w:val="14"/>
              </w:rPr>
              <w:t>No = 3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85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Previously</w:t>
            </w:r>
          </w:p>
          <w:p w14:paraId="0700EC86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Identified</w:t>
            </w:r>
          </w:p>
          <w:p w14:paraId="0700EC87" w14:textId="77777777" w:rsidR="00D31A49" w:rsidRPr="00150BD9" w:rsidRDefault="00475536" w:rsidP="005139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75536">
              <w:rPr>
                <w:b/>
                <w:bCs/>
                <w:sz w:val="16"/>
                <w:szCs w:val="16"/>
              </w:rPr>
              <w:t>Issues</w:t>
            </w:r>
          </w:p>
          <w:p w14:paraId="0700EC88" w14:textId="77777777" w:rsidR="00D31A49" w:rsidRPr="00150BD9" w:rsidRDefault="00D31A49" w:rsidP="00E968C3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</w:p>
          <w:p w14:paraId="0700EC89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Yes = 3</w:t>
            </w:r>
          </w:p>
          <w:p w14:paraId="0700EC8A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4"/>
                <w:szCs w:val="14"/>
              </w:rPr>
              <w:t>No = 1</w:t>
            </w: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8B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Probability</w:t>
            </w:r>
          </w:p>
          <w:p w14:paraId="0700EC8C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of</w:t>
            </w:r>
          </w:p>
          <w:p w14:paraId="0700EC8D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Issue</w:t>
            </w:r>
          </w:p>
          <w:p w14:paraId="0700EC8E" w14:textId="77777777" w:rsidR="00D31A49" w:rsidRPr="00150BD9" w:rsidRDefault="00D31A49" w:rsidP="00E968C3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0700EC8F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High = 3</w:t>
            </w:r>
          </w:p>
          <w:p w14:paraId="0700EC90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Medium = 2</w:t>
            </w:r>
          </w:p>
          <w:p w14:paraId="0700EC91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Low = 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92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Potential</w:t>
            </w:r>
          </w:p>
          <w:p w14:paraId="0700EC93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Impact</w:t>
            </w:r>
          </w:p>
          <w:p w14:paraId="0700EC94" w14:textId="77777777" w:rsidR="00D31A49" w:rsidRPr="00150BD9" w:rsidRDefault="00D31A49" w:rsidP="00E968C3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0700EC95" w14:textId="77777777" w:rsidR="00D31A49" w:rsidRPr="00150BD9" w:rsidRDefault="00D31A49" w:rsidP="00E968C3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0700EC96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High = 3</w:t>
            </w:r>
          </w:p>
          <w:p w14:paraId="0700EC97" w14:textId="77777777" w:rsidR="00D31A49" w:rsidRPr="00150BD9" w:rsidRDefault="008B14DD" w:rsidP="00E968C3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Medium = 2</w:t>
            </w:r>
          </w:p>
          <w:p w14:paraId="0700EC98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75536">
              <w:rPr>
                <w:bCs/>
                <w:sz w:val="14"/>
                <w:szCs w:val="14"/>
              </w:rPr>
              <w:t>Low = 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99" w14:textId="77777777" w:rsidR="00D31A49" w:rsidRPr="00150BD9" w:rsidRDefault="008B14DD" w:rsidP="00E968C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Risk Rating</w:t>
            </w:r>
          </w:p>
          <w:p w14:paraId="0700EC9A" w14:textId="77777777" w:rsidR="00D31A49" w:rsidRPr="00150BD9" w:rsidRDefault="00D31A49" w:rsidP="00E968C3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  <w:p w14:paraId="0700EC9B" w14:textId="77777777" w:rsidR="00D31A49" w:rsidRPr="00150BD9" w:rsidRDefault="008B14DD" w:rsidP="00E968C3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(E+F+G+H)</w:t>
            </w:r>
          </w:p>
          <w:p w14:paraId="0700EC9C" w14:textId="77777777" w:rsidR="00D31A49" w:rsidRPr="00150BD9" w:rsidRDefault="00D31A49" w:rsidP="00E968C3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  <w:p w14:paraId="0700EC9D" w14:textId="77777777" w:rsidR="00D31A49" w:rsidRPr="00150BD9" w:rsidRDefault="008B14DD" w:rsidP="00E968C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H= </w:t>
            </w:r>
            <w:r>
              <w:rPr>
                <w:color w:val="auto"/>
                <w:sz w:val="14"/>
                <w:szCs w:val="14"/>
              </w:rPr>
              <w:t>9-12</w:t>
            </w:r>
          </w:p>
          <w:p w14:paraId="0700EC9E" w14:textId="77777777" w:rsidR="00D31A49" w:rsidRPr="00150BD9" w:rsidRDefault="008B14DD" w:rsidP="00E968C3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M= 5-8</w:t>
            </w:r>
          </w:p>
          <w:p w14:paraId="0700EC9F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75536">
              <w:rPr>
                <w:sz w:val="14"/>
                <w:szCs w:val="14"/>
              </w:rPr>
              <w:t>L= 1-4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0700ECA0" w14:textId="77777777" w:rsidR="00D31A49" w:rsidRPr="00150BD9" w:rsidRDefault="00510E59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Target Review Cycle</w:t>
            </w:r>
          </w:p>
          <w:p w14:paraId="0700ECA1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=</w:t>
            </w:r>
          </w:p>
          <w:p w14:paraId="0700ECA2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H –Annually</w:t>
            </w:r>
          </w:p>
          <w:p w14:paraId="0700ECA3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M- 1 to 2 Year Cycle</w:t>
            </w:r>
          </w:p>
          <w:p w14:paraId="0700ECA4" w14:textId="77777777" w:rsidR="00D31A49" w:rsidRPr="00150BD9" w:rsidRDefault="00475536" w:rsidP="00E968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75536">
              <w:rPr>
                <w:b/>
                <w:bCs/>
                <w:sz w:val="16"/>
                <w:szCs w:val="16"/>
              </w:rPr>
              <w:t>L = 1 to 3 Year Cycle</w:t>
            </w:r>
          </w:p>
        </w:tc>
      </w:tr>
      <w:tr w:rsidR="007B671C" w:rsidRPr="00150BD9" w14:paraId="0700ECBF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  <w:tcBorders>
              <w:top w:val="single" w:sz="6" w:space="0" w:color="000000"/>
            </w:tcBorders>
          </w:tcPr>
          <w:p w14:paraId="0700ECA6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sz w:val="16"/>
                <w:szCs w:val="16"/>
              </w:rPr>
            </w:pPr>
            <w:r w:rsidRPr="00150BD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</w:tcBorders>
          </w:tcPr>
          <w:p w14:paraId="0700ECA7" w14:textId="77777777" w:rsidR="007B671C" w:rsidRPr="00150BD9" w:rsidRDefault="007B671C" w:rsidP="00C12C6E">
            <w:pPr>
              <w:pStyle w:val="Default"/>
              <w:spacing w:before="12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Advertising and </w:t>
            </w:r>
            <w:r w:rsidRPr="00150BD9">
              <w:rPr>
                <w:bCs/>
                <w:sz w:val="16"/>
                <w:szCs w:val="16"/>
              </w:rPr>
              <w:t>M</w:t>
            </w:r>
            <w:r w:rsidRPr="00150BD9">
              <w:rPr>
                <w:bCs/>
                <w:color w:val="auto"/>
                <w:sz w:val="16"/>
                <w:szCs w:val="16"/>
              </w:rPr>
              <w:t>arketing</w:t>
            </w: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150BD9">
              <w:rPr>
                <w:bCs/>
                <w:color w:val="auto"/>
                <w:sz w:val="16"/>
                <w:szCs w:val="16"/>
              </w:rPr>
              <w:t xml:space="preserve">Materials 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 w14:paraId="0700ECA8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Section 206(4)-1 of the Advisors Act (AA).</w:t>
            </w:r>
          </w:p>
          <w:p w14:paraId="0700ECA9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 guidance on advertisements by investment advisers and funds</w:t>
            </w:r>
          </w:p>
          <w:p w14:paraId="0700ECAA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  <w:p w14:paraId="0700ECAB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 &amp; FINRA Rules on fund advertising</w:t>
            </w:r>
          </w:p>
          <w:p w14:paraId="0700ECAC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GIPS requirements</w:t>
            </w:r>
          </w:p>
        </w:tc>
        <w:tc>
          <w:tcPr>
            <w:tcW w:w="2855" w:type="dxa"/>
            <w:tcBorders>
              <w:top w:val="single" w:sz="6" w:space="0" w:color="000000"/>
            </w:tcBorders>
          </w:tcPr>
          <w:p w14:paraId="0700ECAD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 Failure to ensure accurate performance calculations/overstated performance.</w:t>
            </w:r>
          </w:p>
          <w:p w14:paraId="0700ECAE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2. Possible use of unapproved or stale marketing materials</w:t>
            </w:r>
          </w:p>
          <w:p w14:paraId="0700ECAF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 Misrepresentation about firm and principals, services offered</w:t>
            </w:r>
          </w:p>
          <w:p w14:paraId="0700ECB0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 Inaccurate, omitted, unclear, out of date disclosures</w:t>
            </w:r>
          </w:p>
          <w:p w14:paraId="0700ECB1" w14:textId="77777777" w:rsidR="007B671C" w:rsidRPr="00150BD9" w:rsidRDefault="007B671C" w:rsidP="00C12C6E">
            <w:pPr>
              <w:pStyle w:val="Default"/>
              <w:tabs>
                <w:tab w:val="left" w:pos="1766"/>
              </w:tabs>
              <w:spacing w:before="120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 O</w:t>
            </w:r>
            <w:r>
              <w:rPr>
                <w:bCs/>
                <w:sz w:val="16"/>
                <w:szCs w:val="16"/>
              </w:rPr>
              <w:t>verstating AUM</w:t>
            </w:r>
          </w:p>
          <w:p w14:paraId="0700ECB2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6. </w:t>
            </w:r>
            <w:r>
              <w:rPr>
                <w:color w:val="auto"/>
                <w:sz w:val="16"/>
                <w:szCs w:val="16"/>
              </w:rPr>
              <w:t>Unsubstantiated claims</w:t>
            </w:r>
          </w:p>
          <w:p w14:paraId="0700ECB3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7. Guarantees of profit/loss avoidance</w:t>
            </w:r>
          </w:p>
          <w:p w14:paraId="0700ECB4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8. Failure to be GIPS compliant</w:t>
            </w:r>
          </w:p>
          <w:p w14:paraId="0700ECB5" w14:textId="77777777" w:rsidR="007B671C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9. Failure to show effects of advisory fee compounded over years in gross of fee presentations</w:t>
            </w:r>
          </w:p>
          <w:p w14:paraId="0700ECB6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10. Inappropriate testimonials, partial client lists, and partial past recommendations.</w:t>
            </w:r>
          </w:p>
          <w:p w14:paraId="0700ECB7" w14:textId="77777777" w:rsidR="007B671C" w:rsidRPr="00150BD9" w:rsidRDefault="007B671C" w:rsidP="00C12C6E">
            <w:pPr>
              <w:pStyle w:val="Default"/>
              <w:spacing w:before="12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</w:tcBorders>
          </w:tcPr>
          <w:p w14:paraId="0700ECB8" w14:textId="77777777" w:rsidR="007B671C" w:rsidRPr="00150BD9" w:rsidRDefault="007B671C" w:rsidP="00C12C6E">
            <w:pPr>
              <w:pStyle w:val="Default"/>
              <w:tabs>
                <w:tab w:val="left" w:pos="-110"/>
              </w:tabs>
              <w:spacing w:before="12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</w:tcBorders>
          </w:tcPr>
          <w:p w14:paraId="0700ECB9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</w:tcBorders>
          </w:tcPr>
          <w:p w14:paraId="0700ECBA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</w:tcBorders>
          </w:tcPr>
          <w:p w14:paraId="0700ECBB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</w:tcBorders>
          </w:tcPr>
          <w:p w14:paraId="0700ECBC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</w:tcBorders>
          </w:tcPr>
          <w:p w14:paraId="0700ECBD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000000"/>
            </w:tcBorders>
          </w:tcPr>
          <w:p w14:paraId="0700ECBE" w14:textId="77777777" w:rsidR="007B671C" w:rsidRPr="00150BD9" w:rsidRDefault="007B671C" w:rsidP="00C12C6E">
            <w:pPr>
              <w:pStyle w:val="Default"/>
              <w:spacing w:before="120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ECCE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CC0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</w:tcPr>
          <w:p w14:paraId="0700ECC1" w14:textId="77777777" w:rsidR="007B671C" w:rsidRPr="00150BD9" w:rsidRDefault="007B671C" w:rsidP="00C12C6E">
            <w:pPr>
              <w:pStyle w:val="Default"/>
              <w:spacing w:before="12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Affiliated Brokerage Transactions</w:t>
            </w:r>
          </w:p>
        </w:tc>
        <w:tc>
          <w:tcPr>
            <w:tcW w:w="1570" w:type="dxa"/>
          </w:tcPr>
          <w:p w14:paraId="0700ECC2" w14:textId="77777777" w:rsidR="007B671C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17e-1 of ICA</w:t>
            </w:r>
          </w:p>
          <w:p w14:paraId="0700ECC3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  <w:p w14:paraId="0700ECC4" w14:textId="77777777" w:rsidR="007B671C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</w:p>
          <w:p w14:paraId="0700ECC5" w14:textId="77777777" w:rsidR="007B671C" w:rsidRPr="00150BD9" w:rsidRDefault="007B671C" w:rsidP="00C12C6E">
            <w:pPr>
              <w:pStyle w:val="Default"/>
              <w:spacing w:before="120"/>
              <w:rPr>
                <w:color w:val="auto"/>
                <w:sz w:val="16"/>
                <w:szCs w:val="16"/>
              </w:rPr>
            </w:pPr>
          </w:p>
        </w:tc>
        <w:tc>
          <w:tcPr>
            <w:tcW w:w="2855" w:type="dxa"/>
          </w:tcPr>
          <w:p w14:paraId="0700ECC6" w14:textId="77777777" w:rsidR="007B671C" w:rsidRPr="00150BD9" w:rsidRDefault="007B671C" w:rsidP="00C12C6E">
            <w:pPr>
              <w:pStyle w:val="Default"/>
              <w:spacing w:before="12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Failure to identify affiliate broker and not follow procedures relating to price and commission and reporting to fund board</w:t>
            </w:r>
          </w:p>
        </w:tc>
        <w:tc>
          <w:tcPr>
            <w:tcW w:w="2005" w:type="dxa"/>
            <w:gridSpan w:val="2"/>
          </w:tcPr>
          <w:p w14:paraId="0700ECC7" w14:textId="77777777" w:rsidR="007B671C" w:rsidRPr="00150BD9" w:rsidRDefault="007B671C" w:rsidP="00C12C6E">
            <w:pPr>
              <w:pStyle w:val="Default"/>
              <w:tabs>
                <w:tab w:val="left" w:pos="-110"/>
              </w:tabs>
              <w:spacing w:before="12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CC8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CC9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CCA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CCB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CCC" w14:textId="77777777" w:rsidR="007B671C" w:rsidRPr="00150BD9" w:rsidRDefault="007B671C" w:rsidP="00C12C6E">
            <w:pPr>
              <w:pStyle w:val="Default"/>
              <w:spacing w:before="12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CCD" w14:textId="77777777" w:rsidR="007B671C" w:rsidRPr="00150BD9" w:rsidRDefault="007B671C" w:rsidP="00C12C6E">
            <w:pPr>
              <w:pStyle w:val="Default"/>
              <w:spacing w:before="120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ECDC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CCF" w14:textId="77777777" w:rsidR="007B671C" w:rsidRPr="00150BD9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14:paraId="0700ECD0" w14:textId="77777777" w:rsidR="007B671C" w:rsidRPr="00150BD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Affiliated Redemptions in-kind </w:t>
            </w:r>
          </w:p>
        </w:tc>
        <w:tc>
          <w:tcPr>
            <w:tcW w:w="1570" w:type="dxa"/>
          </w:tcPr>
          <w:p w14:paraId="0700ECD1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 no-action guidance</w:t>
            </w:r>
          </w:p>
          <w:p w14:paraId="0700ECD2" w14:textId="77777777" w:rsidR="007B671C" w:rsidRPr="00150BD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  <w:p w14:paraId="0700ECD3" w14:textId="77777777" w:rsidR="007B671C" w:rsidRPr="00150BD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</w:p>
        </w:tc>
        <w:tc>
          <w:tcPr>
            <w:tcW w:w="2855" w:type="dxa"/>
          </w:tcPr>
          <w:p w14:paraId="0700ECD4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Permit redemption in-kind that would disadvantage remaining shareholders</w:t>
            </w:r>
          </w:p>
        </w:tc>
        <w:tc>
          <w:tcPr>
            <w:tcW w:w="2005" w:type="dxa"/>
            <w:gridSpan w:val="2"/>
          </w:tcPr>
          <w:p w14:paraId="0700ECD5" w14:textId="77777777" w:rsidR="007B671C" w:rsidRPr="00150BD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CD6" w14:textId="77777777" w:rsidR="007B671C" w:rsidRPr="00150BD9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CD7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CD8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CD9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CDA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CDB" w14:textId="77777777" w:rsidR="007B671C" w:rsidRPr="00150BD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ECE8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CDD" w14:textId="77777777" w:rsidR="007B671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14:paraId="0700ECDE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0" w:type="dxa"/>
          </w:tcPr>
          <w:p w14:paraId="0700ECDF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855" w:type="dxa"/>
          </w:tcPr>
          <w:p w14:paraId="0700ECE0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gridSpan w:val="2"/>
          </w:tcPr>
          <w:p w14:paraId="0700ECE1" w14:textId="77777777" w:rsidR="007B671C" w:rsidRPr="00150BD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CE2" w14:textId="77777777" w:rsidR="007B671C" w:rsidRPr="00150BD9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CE3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CE4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CE5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CE6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CE7" w14:textId="77777777" w:rsidR="007B671C" w:rsidRPr="00150BD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ECF7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CE9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347" w:type="dxa"/>
            <w:gridSpan w:val="2"/>
          </w:tcPr>
          <w:p w14:paraId="0700ECEA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Purchases from Affiliated Underwriters</w:t>
            </w:r>
          </w:p>
        </w:tc>
        <w:tc>
          <w:tcPr>
            <w:tcW w:w="1570" w:type="dxa"/>
          </w:tcPr>
          <w:p w14:paraId="0700ECEB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Rule 10f-3 of ICA</w:t>
            </w:r>
          </w:p>
          <w:p w14:paraId="0700ECEC" w14:textId="77777777" w:rsidR="007B671C" w:rsidRPr="00150BD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CED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1. Failure to identify affiliated underwriters and to follow procedures relating to compliance with Rule 10f-3</w:t>
            </w:r>
          </w:p>
          <w:p w14:paraId="0700ECEE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2. The Funds purchase securities from an affiliated underwriter in contradiction of Rule 10f-3 and the procedures</w:t>
            </w:r>
          </w:p>
          <w:p w14:paraId="0700ECEF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3. Making a purchase from an affiliated underwriter that is not protected by Rule 10f-3</w:t>
            </w:r>
          </w:p>
        </w:tc>
        <w:tc>
          <w:tcPr>
            <w:tcW w:w="2005" w:type="dxa"/>
            <w:gridSpan w:val="2"/>
          </w:tcPr>
          <w:p w14:paraId="0700ECF0" w14:textId="77777777" w:rsidR="007B671C" w:rsidRPr="00150BD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CF1" w14:textId="77777777" w:rsidR="007B671C" w:rsidRPr="00150BD9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CF2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CF3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CF4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CF5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CF6" w14:textId="77777777" w:rsidR="007B671C" w:rsidRPr="00150BD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36777D" w14:paraId="0700ED0C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CF8" w14:textId="77777777" w:rsidR="007B671C" w:rsidRPr="0036777D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6777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14:paraId="0700ECF9" w14:textId="77777777" w:rsidR="007B671C" w:rsidRPr="0036777D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6777D">
              <w:rPr>
                <w:color w:val="auto"/>
                <w:sz w:val="16"/>
                <w:szCs w:val="16"/>
              </w:rPr>
              <w:t xml:space="preserve">Anti-Money </w:t>
            </w:r>
            <w:proofErr w:type="gramStart"/>
            <w:r w:rsidRPr="0036777D">
              <w:rPr>
                <w:color w:val="auto"/>
                <w:sz w:val="16"/>
                <w:szCs w:val="16"/>
              </w:rPr>
              <w:t>Laundering  Program</w:t>
            </w:r>
            <w:proofErr w:type="gramEnd"/>
            <w:r w:rsidRPr="0036777D"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</w:tcPr>
          <w:p w14:paraId="0700ECFA" w14:textId="77777777" w:rsidR="007B671C" w:rsidRPr="0036777D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6777D">
                  <w:rPr>
                    <w:color w:val="auto"/>
                    <w:sz w:val="16"/>
                    <w:szCs w:val="16"/>
                  </w:rPr>
                  <w:t>USA</w:t>
                </w:r>
              </w:smartTag>
            </w:smartTag>
            <w:r w:rsidRPr="0036777D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36777D">
              <w:rPr>
                <w:color w:val="auto"/>
                <w:sz w:val="16"/>
                <w:szCs w:val="16"/>
              </w:rPr>
              <w:t>PATRIOT  Act</w:t>
            </w:r>
            <w:proofErr w:type="gramEnd"/>
          </w:p>
          <w:p w14:paraId="0700ECFB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36777D">
              <w:rPr>
                <w:color w:val="auto"/>
                <w:sz w:val="16"/>
                <w:szCs w:val="16"/>
              </w:rPr>
              <w:t xml:space="preserve">Rule 0-11 </w:t>
            </w:r>
            <w:r>
              <w:rPr>
                <w:color w:val="auto"/>
                <w:sz w:val="16"/>
                <w:szCs w:val="16"/>
              </w:rPr>
              <w:t>of ICA</w:t>
            </w:r>
          </w:p>
          <w:p w14:paraId="0700ECFC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36777D">
              <w:rPr>
                <w:color w:val="auto"/>
                <w:sz w:val="16"/>
                <w:szCs w:val="16"/>
              </w:rPr>
              <w:t>Customer Identification Program</w:t>
            </w:r>
          </w:p>
          <w:p w14:paraId="0700ECFD" w14:textId="77777777" w:rsidR="007B671C" w:rsidRPr="0036777D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Bank Secrecy Act</w:t>
            </w:r>
          </w:p>
          <w:p w14:paraId="0700ECFE" w14:textId="77777777" w:rsidR="007B671C" w:rsidRPr="00126E9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6777D">
              <w:rPr>
                <w:color w:val="auto"/>
                <w:sz w:val="16"/>
                <w:szCs w:val="16"/>
              </w:rPr>
              <w:t>Rule 38a-1 Procedure</w:t>
            </w:r>
            <w:r>
              <w:rPr>
                <w:color w:val="auto"/>
                <w:sz w:val="16"/>
                <w:szCs w:val="16"/>
              </w:rPr>
              <w:t>s</w:t>
            </w:r>
          </w:p>
          <w:p w14:paraId="0700ECFF" w14:textId="77777777" w:rsidR="007B671C" w:rsidRPr="00126E9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855" w:type="dxa"/>
          </w:tcPr>
          <w:p w14:paraId="0700ED00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6777D">
              <w:rPr>
                <w:bCs/>
                <w:color w:val="auto"/>
                <w:sz w:val="16"/>
                <w:szCs w:val="16"/>
              </w:rPr>
              <w:t>1. Failure</w:t>
            </w:r>
            <w:r>
              <w:rPr>
                <w:bCs/>
                <w:color w:val="auto"/>
                <w:sz w:val="16"/>
                <w:szCs w:val="16"/>
              </w:rPr>
              <w:t xml:space="preserve"> to comply with US Patriot Act.</w:t>
            </w:r>
          </w:p>
          <w:p w14:paraId="0700ED01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2. </w:t>
            </w:r>
            <w:r w:rsidRPr="0036777D">
              <w:rPr>
                <w:bCs/>
                <w:color w:val="auto"/>
                <w:sz w:val="16"/>
                <w:szCs w:val="16"/>
              </w:rPr>
              <w:t xml:space="preserve">If required, failure to adopt and implement an AML program that includes designating a AML Compliance </w:t>
            </w:r>
            <w:proofErr w:type="gramStart"/>
            <w:r w:rsidRPr="0036777D">
              <w:rPr>
                <w:bCs/>
                <w:color w:val="auto"/>
                <w:sz w:val="16"/>
                <w:szCs w:val="16"/>
              </w:rPr>
              <w:t>officer,  implementing</w:t>
            </w:r>
            <w:proofErr w:type="gramEnd"/>
            <w:r w:rsidRPr="0036777D">
              <w:rPr>
                <w:bCs/>
                <w:color w:val="auto"/>
                <w:sz w:val="16"/>
                <w:szCs w:val="16"/>
              </w:rPr>
              <w:t xml:space="preserve"> customer identification procedures, reporting of suspicious activity, and preventing of money laundering activity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D02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3. Failure to monitor and appropriately file Currency Transaction Reports (CTRs) or Suspicious Activity Reports (SARs)</w:t>
            </w:r>
          </w:p>
          <w:p w14:paraId="0700ED03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4. Failure to monitor Covered Primary Provider(s) for funds.</w:t>
            </w:r>
          </w:p>
          <w:p w14:paraId="0700ED04" w14:textId="77777777" w:rsidR="007B671C" w:rsidRPr="0036777D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5. Failure to obtain annual audit.</w:t>
            </w:r>
          </w:p>
        </w:tc>
        <w:tc>
          <w:tcPr>
            <w:tcW w:w="2005" w:type="dxa"/>
            <w:gridSpan w:val="2"/>
          </w:tcPr>
          <w:p w14:paraId="0700ED05" w14:textId="77777777" w:rsidR="007B671C" w:rsidRPr="0036777D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06" w14:textId="77777777" w:rsidR="007B671C" w:rsidRPr="0036777D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07" w14:textId="77777777" w:rsidR="007B671C" w:rsidRPr="0036777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08" w14:textId="77777777" w:rsidR="007B671C" w:rsidRPr="0036777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09" w14:textId="77777777" w:rsidR="007B671C" w:rsidRPr="0036777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0A" w14:textId="77777777" w:rsidR="007B671C" w:rsidRPr="0036777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0B" w14:textId="77777777" w:rsidR="007B671C" w:rsidRPr="0036777D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7476C" w14:paraId="0700ED1A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0D" w14:textId="77777777" w:rsidR="007B671C" w:rsidRPr="00D7476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D7476C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</w:tcPr>
          <w:p w14:paraId="0700ED0E" w14:textId="77777777" w:rsidR="007B671C" w:rsidRPr="00D7476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7476C">
              <w:rPr>
                <w:bCs/>
                <w:color w:val="auto"/>
                <w:sz w:val="16"/>
                <w:szCs w:val="16"/>
              </w:rPr>
              <w:t>Asset Coverage</w:t>
            </w:r>
          </w:p>
          <w:p w14:paraId="0700ED0F" w14:textId="77777777" w:rsidR="007B671C" w:rsidRPr="00D7476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7476C"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</w:tcPr>
          <w:p w14:paraId="0700ED10" w14:textId="77777777" w:rsidR="007B671C" w:rsidRPr="00D7476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7476C">
              <w:rPr>
                <w:color w:val="auto"/>
                <w:sz w:val="16"/>
                <w:szCs w:val="16"/>
              </w:rPr>
              <w:t xml:space="preserve">Section </w:t>
            </w:r>
            <w:r>
              <w:rPr>
                <w:color w:val="auto"/>
                <w:sz w:val="16"/>
                <w:szCs w:val="16"/>
              </w:rPr>
              <w:t>18 of the ICA</w:t>
            </w:r>
          </w:p>
          <w:p w14:paraId="0700ED11" w14:textId="77777777" w:rsidR="007B671C" w:rsidRPr="00D7476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7476C">
              <w:rPr>
                <w:color w:val="auto"/>
                <w:sz w:val="16"/>
                <w:szCs w:val="16"/>
              </w:rPr>
              <w:t>Rule 38a-1</w:t>
            </w:r>
            <w:r>
              <w:rPr>
                <w:color w:val="auto"/>
                <w:sz w:val="16"/>
                <w:szCs w:val="16"/>
              </w:rPr>
              <w:t xml:space="preserve"> of ICA</w:t>
            </w:r>
          </w:p>
        </w:tc>
        <w:tc>
          <w:tcPr>
            <w:tcW w:w="2855" w:type="dxa"/>
          </w:tcPr>
          <w:p w14:paraId="0700ED12" w14:textId="77777777" w:rsidR="007B671C" w:rsidRPr="00D7476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7476C">
              <w:rPr>
                <w:bCs/>
                <w:color w:val="auto"/>
                <w:sz w:val="16"/>
                <w:szCs w:val="16"/>
              </w:rPr>
              <w:t>Failure to follow segregation procedures causing “leveraging”</w:t>
            </w:r>
            <w:r>
              <w:rPr>
                <w:bCs/>
                <w:color w:val="auto"/>
                <w:sz w:val="16"/>
                <w:szCs w:val="16"/>
              </w:rPr>
              <w:t xml:space="preserve"> of the Funds.</w:t>
            </w:r>
          </w:p>
        </w:tc>
        <w:tc>
          <w:tcPr>
            <w:tcW w:w="2005" w:type="dxa"/>
            <w:gridSpan w:val="2"/>
          </w:tcPr>
          <w:p w14:paraId="0700ED13" w14:textId="77777777" w:rsidR="007B671C" w:rsidRPr="00D7476C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14" w14:textId="77777777" w:rsidR="007B671C" w:rsidRPr="00D7476C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15" w14:textId="77777777" w:rsidR="007B671C" w:rsidRPr="00D7476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16" w14:textId="77777777" w:rsidR="007B671C" w:rsidRPr="00D7476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17" w14:textId="77777777" w:rsidR="007B671C" w:rsidRPr="00D7476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18" w14:textId="77777777" w:rsidR="007B671C" w:rsidRPr="00D7476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19" w14:textId="77777777" w:rsidR="007B671C" w:rsidRPr="00D7476C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596887" w14:paraId="0700ED2D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1B" w14:textId="77777777" w:rsidR="007B671C" w:rsidRPr="00596887" w:rsidRDefault="007B671C" w:rsidP="007B671C">
            <w:pPr>
              <w:jc w:val="center"/>
              <w:rPr>
                <w:sz w:val="16"/>
                <w:szCs w:val="16"/>
              </w:rPr>
            </w:pPr>
            <w:r w:rsidRPr="00596887">
              <w:rPr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</w:tcPr>
          <w:p w14:paraId="0700ED1C" w14:textId="77777777" w:rsidR="007B671C" w:rsidRPr="00596887" w:rsidRDefault="007B671C" w:rsidP="007B671C">
            <w:pPr>
              <w:spacing w:after="60"/>
              <w:rPr>
                <w:sz w:val="16"/>
                <w:szCs w:val="16"/>
              </w:rPr>
            </w:pPr>
            <w:r w:rsidRPr="00596887">
              <w:rPr>
                <w:sz w:val="16"/>
                <w:szCs w:val="16"/>
              </w:rPr>
              <w:t>Books and Records,</w:t>
            </w:r>
            <w:r>
              <w:rPr>
                <w:sz w:val="16"/>
                <w:szCs w:val="16"/>
              </w:rPr>
              <w:t xml:space="preserve"> </w:t>
            </w:r>
            <w:r w:rsidRPr="00596887">
              <w:rPr>
                <w:sz w:val="16"/>
                <w:szCs w:val="16"/>
              </w:rPr>
              <w:t>Retention and Disposal</w:t>
            </w:r>
          </w:p>
        </w:tc>
        <w:tc>
          <w:tcPr>
            <w:tcW w:w="1570" w:type="dxa"/>
          </w:tcPr>
          <w:p w14:paraId="0700ED1D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1" w:name="17:3.0.1.1.23.0.147.20"/>
            <w:r>
              <w:rPr>
                <w:color w:val="auto"/>
                <w:sz w:val="16"/>
                <w:szCs w:val="16"/>
              </w:rPr>
              <w:t>Section 204-2 of AA</w:t>
            </w:r>
            <w:bookmarkEnd w:id="1"/>
          </w:p>
          <w:p w14:paraId="0700ED1E" w14:textId="77777777" w:rsidR="007B671C" w:rsidRPr="00596887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of AA</w:t>
            </w:r>
          </w:p>
          <w:p w14:paraId="0700ED1F" w14:textId="77777777" w:rsidR="007B671C" w:rsidRPr="00596887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Section 31(a) and </w:t>
            </w:r>
            <w:r w:rsidRPr="00596887">
              <w:rPr>
                <w:color w:val="auto"/>
                <w:sz w:val="16"/>
                <w:szCs w:val="16"/>
              </w:rPr>
              <w:t>Rule</w:t>
            </w:r>
            <w:r>
              <w:rPr>
                <w:color w:val="auto"/>
                <w:sz w:val="16"/>
                <w:szCs w:val="16"/>
              </w:rPr>
              <w:t>s</w:t>
            </w:r>
            <w:r w:rsidRPr="00596887">
              <w:rPr>
                <w:color w:val="auto"/>
                <w:sz w:val="16"/>
                <w:szCs w:val="16"/>
              </w:rPr>
              <w:t xml:space="preserve"> 31a-1, 31a-2, 31a-3</w:t>
            </w:r>
            <w:r>
              <w:rPr>
                <w:color w:val="auto"/>
                <w:sz w:val="16"/>
                <w:szCs w:val="16"/>
              </w:rPr>
              <w:t xml:space="preserve"> of ICA</w:t>
            </w:r>
          </w:p>
          <w:p w14:paraId="0700ED20" w14:textId="77777777" w:rsidR="007B671C" w:rsidRPr="00596887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12b-1 of ICA</w:t>
            </w:r>
          </w:p>
          <w:p w14:paraId="0700ED21" w14:textId="77777777" w:rsidR="007B671C" w:rsidRPr="00596887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96887">
              <w:rPr>
                <w:color w:val="auto"/>
                <w:sz w:val="16"/>
                <w:szCs w:val="16"/>
              </w:rPr>
              <w:t>Rule 38a-1</w:t>
            </w:r>
            <w:r>
              <w:rPr>
                <w:color w:val="auto"/>
                <w:sz w:val="16"/>
                <w:szCs w:val="16"/>
              </w:rPr>
              <w:t xml:space="preserve"> of ICA</w:t>
            </w:r>
          </w:p>
        </w:tc>
        <w:tc>
          <w:tcPr>
            <w:tcW w:w="2855" w:type="dxa"/>
          </w:tcPr>
          <w:p w14:paraId="0700ED22" w14:textId="77777777" w:rsidR="007B671C" w:rsidRPr="00150BD9" w:rsidRDefault="007B671C" w:rsidP="007B671C">
            <w:pPr>
              <w:spacing w:after="60"/>
              <w:rPr>
                <w:sz w:val="16"/>
                <w:szCs w:val="16"/>
              </w:rPr>
            </w:pPr>
            <w:r w:rsidRPr="00475536">
              <w:rPr>
                <w:sz w:val="16"/>
                <w:szCs w:val="16"/>
              </w:rPr>
              <w:t xml:space="preserve">1. Failure to create </w:t>
            </w:r>
            <w:proofErr w:type="gramStart"/>
            <w:r w:rsidRPr="00475536">
              <w:rPr>
                <w:sz w:val="16"/>
                <w:szCs w:val="16"/>
              </w:rPr>
              <w:t>and  keep</w:t>
            </w:r>
            <w:proofErr w:type="gramEnd"/>
            <w:r w:rsidRPr="00475536">
              <w:rPr>
                <w:sz w:val="16"/>
                <w:szCs w:val="16"/>
              </w:rPr>
              <w:t xml:space="preserve"> required records in a true, accurate and current format for the required time periods and in a manner that secures them from unauthorized alteration or use and protects them from untimely destruction</w:t>
            </w:r>
          </w:p>
          <w:p w14:paraId="0700ED23" w14:textId="77777777" w:rsidR="007B671C" w:rsidRPr="00150BD9" w:rsidRDefault="007B671C" w:rsidP="007B671C">
            <w:pPr>
              <w:spacing w:after="60"/>
              <w:rPr>
                <w:sz w:val="16"/>
                <w:szCs w:val="16"/>
              </w:rPr>
            </w:pPr>
            <w:r w:rsidRPr="00475536">
              <w:rPr>
                <w:sz w:val="16"/>
                <w:szCs w:val="16"/>
              </w:rPr>
              <w:t>2. Failure to include required information on Order memoranda (trade tickets)</w:t>
            </w:r>
          </w:p>
          <w:p w14:paraId="0700ED24" w14:textId="77777777" w:rsidR="007B671C" w:rsidRPr="00150BD9" w:rsidRDefault="007B671C" w:rsidP="007B671C">
            <w:pPr>
              <w:spacing w:after="60"/>
              <w:rPr>
                <w:sz w:val="16"/>
                <w:szCs w:val="16"/>
              </w:rPr>
            </w:pPr>
            <w:r w:rsidRPr="00475536">
              <w:rPr>
                <w:sz w:val="16"/>
                <w:szCs w:val="16"/>
              </w:rPr>
              <w:t>3. Failure to keep records of</w:t>
            </w:r>
            <w:r>
              <w:rPr>
                <w:sz w:val="16"/>
                <w:szCs w:val="16"/>
              </w:rPr>
              <w:t xml:space="preserve"> initial deliver of ADV Part 2 </w:t>
            </w:r>
            <w:r w:rsidRPr="00475536">
              <w:rPr>
                <w:sz w:val="16"/>
                <w:szCs w:val="16"/>
              </w:rPr>
              <w:t>to new clients and annually</w:t>
            </w:r>
          </w:p>
          <w:p w14:paraId="0700ED25" w14:textId="77777777" w:rsidR="007B671C" w:rsidRPr="00596887" w:rsidRDefault="007B671C" w:rsidP="007B671C">
            <w:pPr>
              <w:spacing w:after="60"/>
              <w:rPr>
                <w:sz w:val="16"/>
                <w:szCs w:val="16"/>
              </w:rPr>
            </w:pPr>
            <w:r w:rsidRPr="00475536">
              <w:rPr>
                <w:sz w:val="16"/>
                <w:szCs w:val="16"/>
              </w:rPr>
              <w:t>4. Failure to maintain complete 31a-1(b)(9) records</w:t>
            </w:r>
          </w:p>
        </w:tc>
        <w:tc>
          <w:tcPr>
            <w:tcW w:w="2005" w:type="dxa"/>
            <w:gridSpan w:val="2"/>
          </w:tcPr>
          <w:p w14:paraId="0700ED26" w14:textId="77777777" w:rsidR="007B671C" w:rsidRPr="00596887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27" w14:textId="77777777" w:rsidR="007B671C" w:rsidRPr="00596887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28" w14:textId="77777777" w:rsidR="007B671C" w:rsidRPr="00596887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29" w14:textId="77777777" w:rsidR="007B671C" w:rsidRPr="00596887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2A" w14:textId="77777777" w:rsidR="007B671C" w:rsidRPr="00596887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2B" w14:textId="77777777" w:rsidR="007B671C" w:rsidRPr="00596887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2C" w14:textId="77777777" w:rsidR="007B671C" w:rsidRPr="00596887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837A50" w14:paraId="0700ED39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2E" w14:textId="77777777" w:rsidR="007B671C" w:rsidRPr="00837A5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837A50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</w:tcPr>
          <w:p w14:paraId="0700ED2F" w14:textId="77777777" w:rsidR="007B671C" w:rsidRPr="00837A5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837A50">
              <w:rPr>
                <w:bCs/>
                <w:color w:val="auto"/>
                <w:sz w:val="16"/>
                <w:szCs w:val="16"/>
              </w:rPr>
              <w:t>Remote Office Supervision</w:t>
            </w:r>
          </w:p>
        </w:tc>
        <w:tc>
          <w:tcPr>
            <w:tcW w:w="1570" w:type="dxa"/>
          </w:tcPr>
          <w:p w14:paraId="0700ED30" w14:textId="77777777" w:rsidR="007B671C" w:rsidRPr="00837A5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837A50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55" w:type="dxa"/>
          </w:tcPr>
          <w:p w14:paraId="0700ED31" w14:textId="77777777" w:rsidR="007B671C" w:rsidRPr="00837A5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837A50">
              <w:rPr>
                <w:bCs/>
                <w:color w:val="auto"/>
                <w:sz w:val="16"/>
                <w:szCs w:val="16"/>
              </w:rPr>
              <w:t>Failure to supervise remote office activities/personnel</w:t>
            </w:r>
            <w:r>
              <w:rPr>
                <w:bCs/>
                <w:color w:val="auto"/>
                <w:sz w:val="16"/>
                <w:szCs w:val="16"/>
              </w:rPr>
              <w:t>, which could result in undetected violations of firm’s policies and procedures.</w:t>
            </w:r>
          </w:p>
        </w:tc>
        <w:tc>
          <w:tcPr>
            <w:tcW w:w="2005" w:type="dxa"/>
            <w:gridSpan w:val="2"/>
          </w:tcPr>
          <w:p w14:paraId="0700ED32" w14:textId="77777777" w:rsidR="007B671C" w:rsidRPr="00837A50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33" w14:textId="77777777" w:rsidR="007B671C" w:rsidRPr="00837A50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34" w14:textId="77777777" w:rsidR="007B671C" w:rsidRPr="00837A5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35" w14:textId="77777777" w:rsidR="007B671C" w:rsidRPr="00837A5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36" w14:textId="77777777" w:rsidR="007B671C" w:rsidRPr="00837A5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37" w14:textId="77777777" w:rsidR="007B671C" w:rsidRPr="00837A5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38" w14:textId="77777777" w:rsidR="007B671C" w:rsidRPr="00837A5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0C5056" w14:paraId="0700ED48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3A" w14:textId="77777777" w:rsidR="007B671C" w:rsidRPr="000C5056" w:rsidRDefault="007B671C" w:rsidP="007B671C">
            <w:pPr>
              <w:spacing w:before="100" w:beforeAutospacing="1" w:after="100" w:afterAutospacing="1"/>
              <w:jc w:val="center"/>
              <w:rPr>
                <w:iCs/>
                <w:sz w:val="16"/>
                <w:szCs w:val="16"/>
              </w:rPr>
            </w:pPr>
            <w:r w:rsidRPr="000C5056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</w:tcPr>
          <w:p w14:paraId="0700ED3B" w14:textId="77777777" w:rsidR="007B671C" w:rsidRPr="000C5056" w:rsidRDefault="007B671C" w:rsidP="007B671C">
            <w:pPr>
              <w:spacing w:before="100" w:beforeAutospacing="1" w:after="60"/>
              <w:rPr>
                <w:iCs/>
                <w:sz w:val="16"/>
                <w:szCs w:val="16"/>
              </w:rPr>
            </w:pPr>
            <w:r w:rsidRPr="000C5056">
              <w:rPr>
                <w:iCs/>
                <w:sz w:val="16"/>
                <w:szCs w:val="16"/>
              </w:rPr>
              <w:t>Business Continuity</w:t>
            </w:r>
            <w:r w:rsidRPr="000C5056">
              <w:rPr>
                <w:sz w:val="16"/>
                <w:szCs w:val="16"/>
              </w:rPr>
              <w:t xml:space="preserve"> Plan</w:t>
            </w:r>
            <w:r>
              <w:rPr>
                <w:iCs/>
                <w:sz w:val="16"/>
                <w:szCs w:val="16"/>
              </w:rPr>
              <w:t xml:space="preserve"> and</w:t>
            </w:r>
            <w:r w:rsidRPr="000C5056">
              <w:rPr>
                <w:iCs/>
                <w:sz w:val="16"/>
                <w:szCs w:val="16"/>
              </w:rPr>
              <w:t xml:space="preserve"> Disaster Recovery </w:t>
            </w:r>
          </w:p>
          <w:p w14:paraId="0700ED3C" w14:textId="77777777" w:rsidR="007B671C" w:rsidRPr="000C5056" w:rsidRDefault="007B671C" w:rsidP="007B671C">
            <w:pPr>
              <w:spacing w:before="100" w:beforeAutospacing="1" w:after="60"/>
              <w:rPr>
                <w:iCs/>
                <w:sz w:val="16"/>
                <w:szCs w:val="16"/>
              </w:rPr>
            </w:pPr>
          </w:p>
          <w:p w14:paraId="0700ED3D" w14:textId="77777777" w:rsidR="007B671C" w:rsidRPr="000C505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0" w:type="dxa"/>
          </w:tcPr>
          <w:p w14:paraId="0700ED3E" w14:textId="77777777" w:rsidR="007B671C" w:rsidRPr="000C5056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0C5056">
              <w:rPr>
                <w:color w:val="auto"/>
                <w:sz w:val="16"/>
                <w:szCs w:val="16"/>
              </w:rPr>
              <w:t>Rule 206(4)-7 Procedures</w:t>
            </w:r>
          </w:p>
          <w:p w14:paraId="0700ED3F" w14:textId="77777777" w:rsidR="007B671C" w:rsidRPr="000C505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0C5056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D40" w14:textId="77777777" w:rsidR="007B671C" w:rsidRPr="000C505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0C5056">
              <w:rPr>
                <w:bCs/>
                <w:color w:val="auto"/>
                <w:sz w:val="16"/>
                <w:szCs w:val="16"/>
              </w:rPr>
              <w:t>Failure to develop and implement and periodically test a business continuity plan</w:t>
            </w:r>
            <w:r>
              <w:rPr>
                <w:bCs/>
                <w:color w:val="auto"/>
                <w:sz w:val="16"/>
                <w:szCs w:val="16"/>
              </w:rPr>
              <w:t xml:space="preserve"> could result in harm to firm and its clients in event of an emergency that disrupts normal work operations.</w:t>
            </w:r>
          </w:p>
        </w:tc>
        <w:tc>
          <w:tcPr>
            <w:tcW w:w="2005" w:type="dxa"/>
            <w:gridSpan w:val="2"/>
          </w:tcPr>
          <w:p w14:paraId="0700ED41" w14:textId="77777777" w:rsidR="007B671C" w:rsidRPr="000C5056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42" w14:textId="77777777" w:rsidR="007B671C" w:rsidRPr="000C5056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43" w14:textId="77777777" w:rsidR="007B671C" w:rsidRPr="000C505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44" w14:textId="77777777" w:rsidR="007B671C" w:rsidRPr="000C505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45" w14:textId="77777777" w:rsidR="007B671C" w:rsidRPr="000C505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46" w14:textId="77777777" w:rsidR="007B671C" w:rsidRPr="000C505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47" w14:textId="77777777" w:rsidR="007B671C" w:rsidRPr="000C5056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34119" w14:paraId="0700ED54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49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347" w:type="dxa"/>
            <w:gridSpan w:val="2"/>
          </w:tcPr>
          <w:p w14:paraId="0700ED4A" w14:textId="77777777" w:rsidR="007B671C" w:rsidRPr="0013411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Calculation of N</w:t>
            </w:r>
            <w:r>
              <w:rPr>
                <w:bCs/>
                <w:color w:val="auto"/>
                <w:sz w:val="16"/>
                <w:szCs w:val="16"/>
              </w:rPr>
              <w:t>et Investment Income, Dividend and</w:t>
            </w:r>
            <w:r w:rsidRPr="00134119">
              <w:rPr>
                <w:bCs/>
                <w:color w:val="auto"/>
                <w:sz w:val="16"/>
                <w:szCs w:val="16"/>
              </w:rPr>
              <w:t xml:space="preserve"> Distributions and </w:t>
            </w:r>
            <w:r w:rsidRPr="00134119">
              <w:rPr>
                <w:bCs/>
                <w:color w:val="auto"/>
                <w:sz w:val="16"/>
                <w:szCs w:val="16"/>
              </w:rPr>
              <w:lastRenderedPageBreak/>
              <w:t>Allocation of Expenses</w:t>
            </w:r>
          </w:p>
        </w:tc>
        <w:tc>
          <w:tcPr>
            <w:tcW w:w="1570" w:type="dxa"/>
          </w:tcPr>
          <w:p w14:paraId="0700ED4B" w14:textId="77777777" w:rsidR="007B671C" w:rsidRPr="0013411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34119">
              <w:rPr>
                <w:color w:val="auto"/>
                <w:sz w:val="16"/>
                <w:szCs w:val="16"/>
              </w:rPr>
              <w:lastRenderedPageBreak/>
              <w:t>Rule 38a-1 Procedures</w:t>
            </w:r>
          </w:p>
        </w:tc>
        <w:tc>
          <w:tcPr>
            <w:tcW w:w="2855" w:type="dxa"/>
          </w:tcPr>
          <w:p w14:paraId="0700ED4C" w14:textId="77777777" w:rsidR="007B671C" w:rsidRPr="0013411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Failure to properly calculate dividends</w:t>
            </w:r>
            <w:r>
              <w:rPr>
                <w:bCs/>
                <w:color w:val="auto"/>
                <w:sz w:val="16"/>
                <w:szCs w:val="16"/>
              </w:rPr>
              <w:t xml:space="preserve"> and distributions.</w:t>
            </w:r>
          </w:p>
        </w:tc>
        <w:tc>
          <w:tcPr>
            <w:tcW w:w="2005" w:type="dxa"/>
            <w:gridSpan w:val="2"/>
          </w:tcPr>
          <w:p w14:paraId="0700ED4D" w14:textId="77777777" w:rsidR="007B671C" w:rsidRPr="0013411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4E" w14:textId="77777777" w:rsidR="007B671C" w:rsidRPr="00134119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4F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50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51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52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53" w14:textId="77777777" w:rsidR="007B671C" w:rsidRPr="0013411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34119" w14:paraId="0700ED62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55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347" w:type="dxa"/>
            <w:gridSpan w:val="2"/>
          </w:tcPr>
          <w:p w14:paraId="0700ED56" w14:textId="77777777" w:rsidR="007B671C" w:rsidRPr="0013411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Class Action Claims</w:t>
            </w:r>
          </w:p>
        </w:tc>
        <w:tc>
          <w:tcPr>
            <w:tcW w:w="1570" w:type="dxa"/>
          </w:tcPr>
          <w:p w14:paraId="0700ED57" w14:textId="77777777" w:rsidR="007B671C" w:rsidRPr="0013411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34119">
              <w:rPr>
                <w:color w:val="auto"/>
                <w:sz w:val="16"/>
                <w:szCs w:val="16"/>
              </w:rPr>
              <w:t>Rule 38a-1 Procedures</w:t>
            </w:r>
          </w:p>
          <w:p w14:paraId="0700ED58" w14:textId="77777777" w:rsidR="007B671C" w:rsidRPr="0013411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34119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55" w:type="dxa"/>
          </w:tcPr>
          <w:p w14:paraId="0700ED59" w14:textId="77777777" w:rsidR="007B671C" w:rsidRPr="0013411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1. Failure to keep abreast of and</w:t>
            </w:r>
            <w:r>
              <w:rPr>
                <w:bCs/>
                <w:color w:val="auto"/>
                <w:sz w:val="16"/>
                <w:szCs w:val="16"/>
              </w:rPr>
              <w:t xml:space="preserve"> timely</w:t>
            </w:r>
            <w:r w:rsidRPr="00134119">
              <w:rPr>
                <w:bCs/>
                <w:color w:val="auto"/>
                <w:sz w:val="16"/>
                <w:szCs w:val="16"/>
              </w:rPr>
              <w:t xml:space="preserve"> file class action claim forms timely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D5A" w14:textId="77777777" w:rsidR="007B671C" w:rsidRPr="0013411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34119">
              <w:rPr>
                <w:bCs/>
                <w:color w:val="auto"/>
                <w:sz w:val="16"/>
                <w:szCs w:val="16"/>
              </w:rPr>
              <w:t>2. Failure to distribute claim proceeds to appropriate parties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</w:tcPr>
          <w:p w14:paraId="0700ED5B" w14:textId="77777777" w:rsidR="007B671C" w:rsidRPr="0013411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5C" w14:textId="77777777" w:rsidR="007B671C" w:rsidRPr="00134119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5D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5E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5F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60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61" w14:textId="77777777" w:rsidR="007B671C" w:rsidRPr="0013411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34119" w14:paraId="0700ED73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63" w14:textId="77777777" w:rsidR="007B671C" w:rsidRPr="00134119" w:rsidRDefault="007B671C" w:rsidP="007B671C">
            <w:pPr>
              <w:pStyle w:val="Default"/>
              <w:jc w:val="center"/>
              <w:rPr>
                <w:sz w:val="16"/>
                <w:szCs w:val="16"/>
              </w:rPr>
            </w:pPr>
            <w:r w:rsidRPr="00134119">
              <w:rPr>
                <w:sz w:val="16"/>
                <w:szCs w:val="16"/>
              </w:rPr>
              <w:t>12</w:t>
            </w:r>
          </w:p>
        </w:tc>
        <w:tc>
          <w:tcPr>
            <w:tcW w:w="1347" w:type="dxa"/>
            <w:gridSpan w:val="2"/>
          </w:tcPr>
          <w:p w14:paraId="0700ED64" w14:textId="77777777" w:rsidR="007B671C" w:rsidRPr="00134119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and</w:t>
            </w:r>
          </w:p>
          <w:p w14:paraId="0700ED65" w14:textId="77777777" w:rsidR="007B671C" w:rsidRPr="00134119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134119">
              <w:rPr>
                <w:sz w:val="16"/>
                <w:szCs w:val="16"/>
              </w:rPr>
              <w:t>Shareholder Complaints</w:t>
            </w:r>
          </w:p>
        </w:tc>
        <w:tc>
          <w:tcPr>
            <w:tcW w:w="1570" w:type="dxa"/>
          </w:tcPr>
          <w:p w14:paraId="0700ED66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34119">
              <w:rPr>
                <w:color w:val="auto"/>
                <w:sz w:val="16"/>
                <w:szCs w:val="16"/>
              </w:rPr>
              <w:t>Rule 206(</w:t>
            </w:r>
            <w:r>
              <w:rPr>
                <w:color w:val="auto"/>
                <w:sz w:val="16"/>
                <w:szCs w:val="16"/>
              </w:rPr>
              <w:t>4)-7 Procedures</w:t>
            </w:r>
          </w:p>
          <w:p w14:paraId="0700ED67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34119">
              <w:rPr>
                <w:color w:val="auto"/>
                <w:sz w:val="16"/>
                <w:szCs w:val="16"/>
              </w:rPr>
              <w:t>FINRA Rules</w:t>
            </w:r>
          </w:p>
          <w:p w14:paraId="0700ED68" w14:textId="77777777" w:rsidR="007B671C" w:rsidRPr="0013411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D69" w14:textId="77777777" w:rsidR="007B671C" w:rsidRPr="00134119" w:rsidRDefault="007B671C" w:rsidP="007B671C">
            <w:pPr>
              <w:spacing w:after="60"/>
              <w:rPr>
                <w:sz w:val="16"/>
                <w:szCs w:val="16"/>
              </w:rPr>
            </w:pPr>
            <w:r w:rsidRPr="00134119">
              <w:rPr>
                <w:sz w:val="16"/>
                <w:szCs w:val="16"/>
              </w:rPr>
              <w:t>1. Failure to capture and address client complaints against the firm or its employees (may allege theft, misappropriation, etc)</w:t>
            </w:r>
            <w:r>
              <w:rPr>
                <w:sz w:val="16"/>
                <w:szCs w:val="16"/>
              </w:rPr>
              <w:t>.</w:t>
            </w:r>
          </w:p>
          <w:p w14:paraId="0700ED6A" w14:textId="77777777" w:rsidR="007B671C" w:rsidRPr="00134119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34119">
              <w:rPr>
                <w:sz w:val="16"/>
                <w:szCs w:val="16"/>
              </w:rPr>
              <w:t>Failure t</w:t>
            </w:r>
            <w:r>
              <w:rPr>
                <w:sz w:val="16"/>
                <w:szCs w:val="16"/>
              </w:rPr>
              <w:t>o address and</w:t>
            </w:r>
            <w:r w:rsidRPr="00134119">
              <w:rPr>
                <w:sz w:val="16"/>
                <w:szCs w:val="16"/>
              </w:rPr>
              <w:t xml:space="preserve"> report to </w:t>
            </w:r>
            <w:r>
              <w:rPr>
                <w:sz w:val="16"/>
                <w:szCs w:val="16"/>
              </w:rPr>
              <w:t>FINRA, shareholder complaints.</w:t>
            </w:r>
          </w:p>
          <w:p w14:paraId="0700ED6B" w14:textId="77777777" w:rsidR="007B671C" w:rsidRPr="00134119" w:rsidRDefault="007B671C" w:rsidP="007B671C">
            <w:pPr>
              <w:spacing w:after="60"/>
              <w:rPr>
                <w:sz w:val="16"/>
                <w:szCs w:val="16"/>
              </w:rPr>
            </w:pPr>
            <w:r w:rsidRPr="00134119">
              <w:rPr>
                <w:sz w:val="16"/>
                <w:szCs w:val="16"/>
              </w:rPr>
              <w:t>3. Failure to prevent employees</w:t>
            </w:r>
            <w:r>
              <w:rPr>
                <w:sz w:val="16"/>
                <w:szCs w:val="16"/>
              </w:rPr>
              <w:t xml:space="preserve"> from intercepting and</w:t>
            </w:r>
            <w:r w:rsidRPr="00134119">
              <w:rPr>
                <w:sz w:val="16"/>
                <w:szCs w:val="16"/>
              </w:rPr>
              <w:t xml:space="preserve"> hiding/destroying complaints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</w:tcPr>
          <w:p w14:paraId="0700ED6C" w14:textId="77777777" w:rsidR="007B671C" w:rsidRPr="0013411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6D" w14:textId="77777777" w:rsidR="007B671C" w:rsidRPr="00134119" w:rsidRDefault="007B671C" w:rsidP="007B671C">
            <w:pPr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6E" w14:textId="77777777" w:rsidR="007B671C" w:rsidRPr="00134119" w:rsidRDefault="007B671C" w:rsidP="007B67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6F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70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71" w14:textId="77777777" w:rsidR="007B671C" w:rsidRPr="0013411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72" w14:textId="77777777" w:rsidR="007B671C" w:rsidRPr="0013411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54562" w14:paraId="0700ED83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74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D54562"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347" w:type="dxa"/>
            <w:gridSpan w:val="2"/>
          </w:tcPr>
          <w:p w14:paraId="0700ED75" w14:textId="77777777" w:rsidR="007B671C" w:rsidRPr="00D54562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54562">
              <w:rPr>
                <w:bCs/>
                <w:color w:val="auto"/>
                <w:sz w:val="16"/>
                <w:szCs w:val="16"/>
              </w:rPr>
              <w:t>Client/Shareholder Communication</w:t>
            </w:r>
          </w:p>
        </w:tc>
        <w:tc>
          <w:tcPr>
            <w:tcW w:w="1570" w:type="dxa"/>
          </w:tcPr>
          <w:p w14:paraId="0700ED76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54562">
              <w:rPr>
                <w:color w:val="auto"/>
                <w:sz w:val="16"/>
                <w:szCs w:val="16"/>
              </w:rPr>
              <w:t>Rule 206(4)-7 Procedures</w:t>
            </w:r>
          </w:p>
          <w:p w14:paraId="0700ED77" w14:textId="77777777" w:rsidR="007B671C" w:rsidRPr="00150BD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 and FINRA guidance on advertisements by investment advisers and funds</w:t>
            </w:r>
          </w:p>
          <w:p w14:paraId="0700ED78" w14:textId="77777777" w:rsidR="007B671C" w:rsidRPr="00D54562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D79" w14:textId="77777777" w:rsidR="007B671C" w:rsidRPr="00D54562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54562">
              <w:rPr>
                <w:bCs/>
                <w:color w:val="auto"/>
                <w:sz w:val="16"/>
                <w:szCs w:val="16"/>
              </w:rPr>
              <w:t>1. Employees may cherry pick performance in their communications; make false or misleading statements, etc.</w:t>
            </w:r>
          </w:p>
          <w:p w14:paraId="0700ED7A" w14:textId="77777777" w:rsidR="007B671C" w:rsidRPr="00D54562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54562">
              <w:rPr>
                <w:bCs/>
                <w:color w:val="auto"/>
                <w:sz w:val="16"/>
                <w:szCs w:val="16"/>
              </w:rPr>
              <w:t xml:space="preserve">2. The firm fails to </w:t>
            </w:r>
            <w:r>
              <w:rPr>
                <w:bCs/>
                <w:color w:val="auto"/>
                <w:sz w:val="16"/>
                <w:szCs w:val="16"/>
              </w:rPr>
              <w:t>properly</w:t>
            </w:r>
            <w:r w:rsidRPr="00D54562">
              <w:rPr>
                <w:bCs/>
                <w:color w:val="auto"/>
                <w:sz w:val="16"/>
                <w:szCs w:val="16"/>
              </w:rPr>
              <w:t xml:space="preserve"> review incoming and outgoing correspondences</w:t>
            </w: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D54562">
              <w:rPr>
                <w:bCs/>
                <w:color w:val="auto"/>
                <w:sz w:val="16"/>
                <w:szCs w:val="16"/>
              </w:rPr>
              <w:t>(supervision)</w:t>
            </w:r>
            <w:r>
              <w:rPr>
                <w:bCs/>
                <w:color w:val="auto"/>
                <w:sz w:val="16"/>
                <w:szCs w:val="16"/>
              </w:rPr>
              <w:t>, including emails.</w:t>
            </w:r>
          </w:p>
          <w:p w14:paraId="0700ED7B" w14:textId="77777777" w:rsidR="007B671C" w:rsidRPr="00D54562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gridSpan w:val="2"/>
          </w:tcPr>
          <w:p w14:paraId="0700ED7C" w14:textId="77777777" w:rsidR="007B671C" w:rsidRPr="00D54562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7D" w14:textId="77777777" w:rsidR="007B671C" w:rsidRPr="00D54562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7E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7F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80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81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82" w14:textId="77777777" w:rsidR="007B671C" w:rsidRPr="00D54562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54562" w14:paraId="0700ED96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84" w14:textId="77777777" w:rsidR="007B671C" w:rsidRPr="00D54562" w:rsidRDefault="007B671C" w:rsidP="007B671C">
            <w:pPr>
              <w:jc w:val="center"/>
              <w:rPr>
                <w:sz w:val="16"/>
                <w:szCs w:val="16"/>
              </w:rPr>
            </w:pPr>
            <w:r w:rsidRPr="00D54562">
              <w:rPr>
                <w:sz w:val="16"/>
                <w:szCs w:val="16"/>
              </w:rPr>
              <w:t>14</w:t>
            </w:r>
          </w:p>
        </w:tc>
        <w:tc>
          <w:tcPr>
            <w:tcW w:w="1347" w:type="dxa"/>
            <w:gridSpan w:val="2"/>
          </w:tcPr>
          <w:p w14:paraId="0700ED85" w14:textId="77777777" w:rsidR="007B671C" w:rsidRPr="00D54562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Ethics and</w:t>
            </w:r>
            <w:r w:rsidRPr="00D54562">
              <w:rPr>
                <w:sz w:val="16"/>
                <w:szCs w:val="16"/>
              </w:rPr>
              <w:t xml:space="preserve"> Personal Securities Transactions </w:t>
            </w:r>
          </w:p>
          <w:p w14:paraId="0700ED86" w14:textId="77777777" w:rsidR="007B671C" w:rsidRPr="00D54562" w:rsidRDefault="007B671C" w:rsidP="007B671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0700ED87" w14:textId="77777777" w:rsidR="007B671C" w:rsidRPr="00D54562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2" w:name="17:3.0.1.1.23.0.147.22"/>
            <w:r w:rsidRPr="00D54562">
              <w:rPr>
                <w:color w:val="auto"/>
                <w:sz w:val="16"/>
                <w:szCs w:val="16"/>
              </w:rPr>
              <w:t>Section 204A-1</w:t>
            </w:r>
            <w:r>
              <w:rPr>
                <w:color w:val="auto"/>
                <w:sz w:val="16"/>
                <w:szCs w:val="16"/>
              </w:rPr>
              <w:t xml:space="preserve"> of AA.</w:t>
            </w:r>
          </w:p>
          <w:p w14:paraId="0700ED88" w14:textId="77777777" w:rsidR="007B671C" w:rsidRPr="00D54562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54562">
              <w:rPr>
                <w:color w:val="auto"/>
                <w:sz w:val="16"/>
                <w:szCs w:val="16"/>
              </w:rPr>
              <w:t>Investment adviser code of ethics</w:t>
            </w:r>
            <w:bookmarkEnd w:id="2"/>
          </w:p>
          <w:p w14:paraId="0700ED89" w14:textId="77777777" w:rsidR="007B671C" w:rsidRPr="00D54562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54562">
              <w:rPr>
                <w:color w:val="auto"/>
                <w:sz w:val="16"/>
                <w:szCs w:val="16"/>
              </w:rPr>
              <w:t xml:space="preserve">Rule 17j-1 </w:t>
            </w:r>
            <w:r>
              <w:rPr>
                <w:color w:val="auto"/>
                <w:sz w:val="16"/>
                <w:szCs w:val="16"/>
              </w:rPr>
              <w:t>of ICA</w:t>
            </w:r>
          </w:p>
        </w:tc>
        <w:tc>
          <w:tcPr>
            <w:tcW w:w="2855" w:type="dxa"/>
          </w:tcPr>
          <w:p w14:paraId="0700ED8A" w14:textId="77777777" w:rsidR="007B671C" w:rsidRPr="00D54562" w:rsidRDefault="007B671C" w:rsidP="007B671C">
            <w:pPr>
              <w:spacing w:after="60"/>
              <w:rPr>
                <w:sz w:val="16"/>
                <w:szCs w:val="16"/>
              </w:rPr>
            </w:pPr>
            <w:r w:rsidRPr="00D54562">
              <w:rPr>
                <w:sz w:val="16"/>
                <w:szCs w:val="16"/>
              </w:rPr>
              <w:t xml:space="preserve">1. Failure of employees to provide initial holdings, pre-clear trades, provide quarterly and annual holdings reports, and risk that </w:t>
            </w:r>
            <w:proofErr w:type="gramStart"/>
            <w:r w:rsidRPr="00D54562">
              <w:rPr>
                <w:sz w:val="16"/>
                <w:szCs w:val="16"/>
              </w:rPr>
              <w:t>they  invest</w:t>
            </w:r>
            <w:proofErr w:type="gramEnd"/>
            <w:r w:rsidRPr="00D54562">
              <w:rPr>
                <w:sz w:val="16"/>
                <w:szCs w:val="16"/>
              </w:rPr>
              <w:t xml:space="preserve"> in IPOs or otherwise fail to comply with the </w:t>
            </w:r>
            <w:r>
              <w:rPr>
                <w:sz w:val="16"/>
                <w:szCs w:val="16"/>
              </w:rPr>
              <w:t>Adviser’s</w:t>
            </w:r>
            <w:r w:rsidRPr="00D54562">
              <w:rPr>
                <w:sz w:val="16"/>
                <w:szCs w:val="16"/>
              </w:rPr>
              <w:t xml:space="preserve"> Code of Ethics</w:t>
            </w:r>
          </w:p>
          <w:p w14:paraId="0700ED8B" w14:textId="77777777" w:rsidR="007B671C" w:rsidRPr="00D54562" w:rsidRDefault="007B671C" w:rsidP="007B671C">
            <w:pPr>
              <w:spacing w:after="60"/>
              <w:rPr>
                <w:sz w:val="16"/>
                <w:szCs w:val="16"/>
              </w:rPr>
            </w:pPr>
            <w:r w:rsidRPr="00D54562">
              <w:rPr>
                <w:sz w:val="16"/>
                <w:szCs w:val="16"/>
              </w:rPr>
              <w:t>2. Failure to ensure employees submit required reports</w:t>
            </w:r>
          </w:p>
          <w:p w14:paraId="0700ED8C" w14:textId="77777777" w:rsidR="007B671C" w:rsidRDefault="007B671C" w:rsidP="007B671C">
            <w:pPr>
              <w:spacing w:after="60"/>
              <w:rPr>
                <w:sz w:val="16"/>
                <w:szCs w:val="16"/>
              </w:rPr>
            </w:pPr>
            <w:r w:rsidRPr="00D54562">
              <w:rPr>
                <w:sz w:val="16"/>
                <w:szCs w:val="16"/>
              </w:rPr>
              <w:t>3. Failure to keep Code current and accurate</w:t>
            </w:r>
            <w:r>
              <w:rPr>
                <w:sz w:val="16"/>
                <w:szCs w:val="16"/>
              </w:rPr>
              <w:t xml:space="preserve"> records.</w:t>
            </w:r>
          </w:p>
          <w:p w14:paraId="0700ED8D" w14:textId="77777777" w:rsidR="007B671C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Employees inappropriately trade around client transactions or trade with inside information.</w:t>
            </w:r>
          </w:p>
          <w:p w14:paraId="0700ED8E" w14:textId="77777777" w:rsidR="007B671C" w:rsidRPr="00D54562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Employees engage in short-term trading activities.</w:t>
            </w:r>
          </w:p>
        </w:tc>
        <w:tc>
          <w:tcPr>
            <w:tcW w:w="2005" w:type="dxa"/>
            <w:gridSpan w:val="2"/>
          </w:tcPr>
          <w:p w14:paraId="0700ED8F" w14:textId="77777777" w:rsidR="007B671C" w:rsidRPr="00D54562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90" w14:textId="77777777" w:rsidR="007B671C" w:rsidRPr="00D54562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91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92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93" w14:textId="77777777" w:rsidR="007B671C" w:rsidRPr="00D5456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94" w14:textId="77777777" w:rsidR="007B671C" w:rsidRPr="00D54562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95" w14:textId="77777777" w:rsidR="007B671C" w:rsidRPr="00D54562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42479" w14:paraId="0700EDA5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97" w14:textId="77777777" w:rsidR="007B671C" w:rsidRPr="00142479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42479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347" w:type="dxa"/>
            <w:gridSpan w:val="2"/>
          </w:tcPr>
          <w:p w14:paraId="0700ED98" w14:textId="77777777" w:rsidR="007B671C" w:rsidRPr="001424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42479">
              <w:rPr>
                <w:color w:val="auto"/>
                <w:sz w:val="16"/>
                <w:szCs w:val="16"/>
              </w:rPr>
              <w:t>Compliance Programs</w:t>
            </w:r>
            <w:r>
              <w:rPr>
                <w:bCs/>
                <w:color w:val="auto"/>
                <w:sz w:val="16"/>
                <w:szCs w:val="16"/>
              </w:rPr>
              <w:t xml:space="preserve"> and </w:t>
            </w:r>
            <w:r w:rsidRPr="00142479">
              <w:rPr>
                <w:bCs/>
                <w:color w:val="auto"/>
                <w:sz w:val="16"/>
                <w:szCs w:val="16"/>
              </w:rPr>
              <w:t>Procedures</w:t>
            </w:r>
          </w:p>
        </w:tc>
        <w:tc>
          <w:tcPr>
            <w:tcW w:w="1570" w:type="dxa"/>
          </w:tcPr>
          <w:p w14:paraId="0700ED99" w14:textId="77777777" w:rsidR="007B671C" w:rsidRPr="0014247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42479">
              <w:rPr>
                <w:color w:val="auto"/>
                <w:sz w:val="16"/>
                <w:szCs w:val="16"/>
              </w:rPr>
              <w:t>Rule 38a-1 Procedures</w:t>
            </w:r>
          </w:p>
          <w:p w14:paraId="0700ED9A" w14:textId="77777777" w:rsidR="007B671C" w:rsidRPr="001424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42479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55" w:type="dxa"/>
          </w:tcPr>
          <w:p w14:paraId="0700ED9B" w14:textId="77777777" w:rsidR="007B671C" w:rsidRPr="001424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42479">
              <w:rPr>
                <w:color w:val="auto"/>
                <w:sz w:val="16"/>
                <w:szCs w:val="16"/>
              </w:rPr>
              <w:t xml:space="preserve">1. Failure to </w:t>
            </w:r>
            <w:r w:rsidRPr="00142479">
              <w:rPr>
                <w:bCs/>
                <w:color w:val="auto"/>
                <w:sz w:val="16"/>
                <w:szCs w:val="16"/>
              </w:rPr>
              <w:t>adopt and implement written compliance policies and procedures, conduct and document annual review of the policies and procedures and designate a CCO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D9C" w14:textId="77777777" w:rsidR="007B671C" w:rsidRPr="001424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42479">
              <w:rPr>
                <w:bCs/>
                <w:color w:val="auto"/>
                <w:sz w:val="16"/>
                <w:szCs w:val="16"/>
              </w:rPr>
              <w:t xml:space="preserve">2. Failure to adopt and implement Rule 38a-1 procedures and to have them board approved </w:t>
            </w:r>
          </w:p>
          <w:p w14:paraId="0700ED9D" w14:textId="77777777" w:rsidR="007B671C" w:rsidRPr="0014247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142479">
              <w:rPr>
                <w:bCs/>
                <w:color w:val="auto"/>
                <w:sz w:val="16"/>
                <w:szCs w:val="16"/>
              </w:rPr>
              <w:t xml:space="preserve">3. Failure to </w:t>
            </w:r>
            <w:r>
              <w:rPr>
                <w:bCs/>
                <w:color w:val="auto"/>
                <w:sz w:val="16"/>
                <w:szCs w:val="16"/>
              </w:rPr>
              <w:t xml:space="preserve">design and </w:t>
            </w:r>
            <w:r w:rsidRPr="00142479">
              <w:rPr>
                <w:bCs/>
                <w:color w:val="auto"/>
                <w:sz w:val="16"/>
                <w:szCs w:val="16"/>
              </w:rPr>
              <w:t xml:space="preserve">enforce </w:t>
            </w:r>
            <w:r>
              <w:rPr>
                <w:bCs/>
                <w:color w:val="auto"/>
                <w:sz w:val="16"/>
                <w:szCs w:val="16"/>
              </w:rPr>
              <w:t xml:space="preserve">appropriate </w:t>
            </w:r>
            <w:r w:rsidRPr="00142479">
              <w:rPr>
                <w:bCs/>
                <w:color w:val="auto"/>
                <w:sz w:val="16"/>
                <w:szCs w:val="16"/>
              </w:rPr>
              <w:t>policies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</w:tcPr>
          <w:p w14:paraId="0700ED9E" w14:textId="77777777" w:rsidR="007B671C" w:rsidRPr="0014247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9F" w14:textId="77777777" w:rsidR="007B671C" w:rsidRPr="00142479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A0" w14:textId="77777777" w:rsidR="007B671C" w:rsidRPr="001424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A1" w14:textId="77777777" w:rsidR="007B671C" w:rsidRPr="001424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A2" w14:textId="77777777" w:rsidR="007B671C" w:rsidRPr="001424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A3" w14:textId="77777777" w:rsidR="007B671C" w:rsidRPr="0014247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A4" w14:textId="77777777" w:rsidR="007B671C" w:rsidRPr="0014247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BF232E" w14:paraId="0700EDB1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A6" w14:textId="77777777" w:rsidR="007B671C" w:rsidRPr="00BF232E" w:rsidRDefault="007B671C" w:rsidP="007B671C">
            <w:pPr>
              <w:jc w:val="center"/>
              <w:rPr>
                <w:sz w:val="16"/>
                <w:szCs w:val="16"/>
              </w:rPr>
            </w:pPr>
            <w:r w:rsidRPr="00BF232E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347" w:type="dxa"/>
            <w:gridSpan w:val="2"/>
          </w:tcPr>
          <w:p w14:paraId="0700EDA7" w14:textId="77777777" w:rsidR="007B671C" w:rsidRPr="00BF232E" w:rsidRDefault="007B671C" w:rsidP="007B671C">
            <w:pPr>
              <w:spacing w:after="60"/>
              <w:rPr>
                <w:sz w:val="16"/>
                <w:szCs w:val="16"/>
              </w:rPr>
            </w:pPr>
            <w:r w:rsidRPr="00BF232E">
              <w:rPr>
                <w:sz w:val="16"/>
                <w:szCs w:val="16"/>
              </w:rPr>
              <w:t>Confidential Compliance Reporting Mechanism</w:t>
            </w:r>
          </w:p>
        </w:tc>
        <w:tc>
          <w:tcPr>
            <w:tcW w:w="1570" w:type="dxa"/>
          </w:tcPr>
          <w:p w14:paraId="0700EDA8" w14:textId="77777777" w:rsidR="007B671C" w:rsidRPr="00BF232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F232E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55" w:type="dxa"/>
          </w:tcPr>
          <w:p w14:paraId="0700EDA9" w14:textId="77777777" w:rsidR="007B671C" w:rsidRPr="00BF232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F232E">
              <w:rPr>
                <w:bCs/>
                <w:color w:val="auto"/>
                <w:sz w:val="16"/>
                <w:szCs w:val="16"/>
              </w:rPr>
              <w:t>Failure to pro</w:t>
            </w:r>
            <w:r>
              <w:rPr>
                <w:bCs/>
                <w:color w:val="auto"/>
                <w:sz w:val="16"/>
                <w:szCs w:val="16"/>
              </w:rPr>
              <w:t xml:space="preserve">vide a method for employees to </w:t>
            </w:r>
            <w:r w:rsidRPr="00BF232E">
              <w:rPr>
                <w:bCs/>
                <w:color w:val="auto"/>
                <w:sz w:val="16"/>
                <w:szCs w:val="16"/>
              </w:rPr>
              <w:t>anonymously report suspected violations without retribution</w:t>
            </w:r>
            <w:r>
              <w:rPr>
                <w:bCs/>
                <w:color w:val="auto"/>
                <w:sz w:val="16"/>
                <w:szCs w:val="16"/>
              </w:rPr>
              <w:t>, such as a hot line, could delay discovery of compliance issues.</w:t>
            </w:r>
          </w:p>
        </w:tc>
        <w:tc>
          <w:tcPr>
            <w:tcW w:w="2005" w:type="dxa"/>
            <w:gridSpan w:val="2"/>
          </w:tcPr>
          <w:p w14:paraId="0700EDAA" w14:textId="77777777" w:rsidR="007B671C" w:rsidRPr="00BF232E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AB" w14:textId="77777777" w:rsidR="007B671C" w:rsidRPr="00BF232E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AC" w14:textId="77777777" w:rsidR="007B671C" w:rsidRPr="00BF232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AD" w14:textId="77777777" w:rsidR="007B671C" w:rsidRPr="00BF232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AE" w14:textId="77777777" w:rsidR="007B671C" w:rsidRPr="00BF232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AF" w14:textId="77777777" w:rsidR="007B671C" w:rsidRPr="00BF232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B0" w14:textId="77777777" w:rsidR="007B671C" w:rsidRPr="00BF232E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516E88" w14:paraId="0700EDC0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B2" w14:textId="77777777" w:rsidR="007B671C" w:rsidRPr="00516E88" w:rsidRDefault="007B671C" w:rsidP="007B671C">
            <w:pPr>
              <w:jc w:val="center"/>
              <w:rPr>
                <w:sz w:val="16"/>
                <w:szCs w:val="16"/>
              </w:rPr>
            </w:pPr>
            <w:r w:rsidRPr="00516E88">
              <w:rPr>
                <w:sz w:val="16"/>
                <w:szCs w:val="16"/>
              </w:rPr>
              <w:t>17</w:t>
            </w:r>
          </w:p>
        </w:tc>
        <w:tc>
          <w:tcPr>
            <w:tcW w:w="1347" w:type="dxa"/>
            <w:gridSpan w:val="2"/>
          </w:tcPr>
          <w:p w14:paraId="0700EDB3" w14:textId="77777777" w:rsidR="007B671C" w:rsidRPr="00516E88" w:rsidRDefault="007B671C" w:rsidP="007B671C">
            <w:pPr>
              <w:spacing w:after="60"/>
              <w:rPr>
                <w:sz w:val="16"/>
                <w:szCs w:val="16"/>
              </w:rPr>
            </w:pPr>
            <w:r w:rsidRPr="00516E88">
              <w:rPr>
                <w:sz w:val="16"/>
                <w:szCs w:val="16"/>
              </w:rPr>
              <w:t>Contracts and Agreements</w:t>
            </w:r>
          </w:p>
        </w:tc>
        <w:tc>
          <w:tcPr>
            <w:tcW w:w="1570" w:type="dxa"/>
          </w:tcPr>
          <w:p w14:paraId="0700EDB4" w14:textId="77777777" w:rsidR="007B671C" w:rsidRPr="00516E8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16E88">
              <w:rPr>
                <w:bCs/>
                <w:color w:val="auto"/>
                <w:sz w:val="16"/>
                <w:szCs w:val="16"/>
              </w:rPr>
              <w:t>Section 205</w:t>
            </w:r>
            <w:r>
              <w:rPr>
                <w:bCs/>
                <w:color w:val="auto"/>
                <w:sz w:val="16"/>
                <w:szCs w:val="16"/>
              </w:rPr>
              <w:t xml:space="preserve"> of the AA.</w:t>
            </w:r>
          </w:p>
          <w:p w14:paraId="0700EDB5" w14:textId="77777777" w:rsidR="007B671C" w:rsidRPr="00516E8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16E88">
              <w:rPr>
                <w:bCs/>
                <w:color w:val="auto"/>
                <w:sz w:val="16"/>
                <w:szCs w:val="16"/>
              </w:rPr>
              <w:t>Section 15</w:t>
            </w:r>
            <w:r>
              <w:rPr>
                <w:bCs/>
                <w:color w:val="auto"/>
                <w:sz w:val="16"/>
                <w:szCs w:val="16"/>
              </w:rPr>
              <w:t xml:space="preserve"> of the ICA.</w:t>
            </w:r>
          </w:p>
        </w:tc>
        <w:tc>
          <w:tcPr>
            <w:tcW w:w="2855" w:type="dxa"/>
          </w:tcPr>
          <w:p w14:paraId="0700EDB6" w14:textId="77777777" w:rsidR="007B671C" w:rsidRPr="00516E88" w:rsidRDefault="007B671C" w:rsidP="007B671C">
            <w:pPr>
              <w:spacing w:after="60"/>
              <w:rPr>
                <w:sz w:val="16"/>
                <w:szCs w:val="16"/>
              </w:rPr>
            </w:pPr>
            <w:r w:rsidRPr="00516E88">
              <w:rPr>
                <w:sz w:val="16"/>
                <w:szCs w:val="16"/>
              </w:rPr>
              <w:t>1. Failure to include provisions regarding no assignments w/out prior client consent, fee schedules (performance fee limitations), termination process, no hedge clauses</w:t>
            </w:r>
            <w:r>
              <w:rPr>
                <w:sz w:val="16"/>
                <w:szCs w:val="16"/>
              </w:rPr>
              <w:t>, etc.</w:t>
            </w:r>
          </w:p>
          <w:p w14:paraId="0700EDB7" w14:textId="77777777" w:rsidR="007B671C" w:rsidRPr="00516E88" w:rsidRDefault="007B671C" w:rsidP="007B671C">
            <w:pPr>
              <w:spacing w:after="60"/>
              <w:rPr>
                <w:sz w:val="16"/>
                <w:szCs w:val="16"/>
              </w:rPr>
            </w:pPr>
            <w:r w:rsidRPr="00516E88">
              <w:rPr>
                <w:sz w:val="16"/>
                <w:szCs w:val="16"/>
              </w:rPr>
              <w:t xml:space="preserve">2. Failure to ensure annual fund agreement renewals </w:t>
            </w:r>
            <w:r>
              <w:rPr>
                <w:sz w:val="16"/>
                <w:szCs w:val="16"/>
              </w:rPr>
              <w:t>in accordance with regulatory requirements and industry standards.</w:t>
            </w:r>
          </w:p>
          <w:p w14:paraId="0700EDB8" w14:textId="77777777" w:rsidR="007B671C" w:rsidRPr="00516E88" w:rsidRDefault="007B671C" w:rsidP="007B671C">
            <w:pPr>
              <w:spacing w:after="60"/>
              <w:rPr>
                <w:sz w:val="16"/>
                <w:szCs w:val="16"/>
              </w:rPr>
            </w:pPr>
            <w:r w:rsidRPr="00516E88">
              <w:rPr>
                <w:sz w:val="16"/>
                <w:szCs w:val="16"/>
              </w:rPr>
              <w:t>3. Failure to ensure agreements are complete signed and dated by all parties</w:t>
            </w:r>
            <w:r>
              <w:rPr>
                <w:sz w:val="16"/>
                <w:szCs w:val="16"/>
              </w:rPr>
              <w:t xml:space="preserve"> in a timely manner.</w:t>
            </w:r>
          </w:p>
        </w:tc>
        <w:tc>
          <w:tcPr>
            <w:tcW w:w="2005" w:type="dxa"/>
            <w:gridSpan w:val="2"/>
          </w:tcPr>
          <w:p w14:paraId="0700EDB9" w14:textId="77777777" w:rsidR="007B671C" w:rsidRPr="00516E8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BA" w14:textId="77777777" w:rsidR="007B671C" w:rsidRPr="00516E88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BB" w14:textId="77777777" w:rsidR="007B671C" w:rsidRPr="00516E8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BC" w14:textId="77777777" w:rsidR="007B671C" w:rsidRPr="00516E8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BD" w14:textId="77777777" w:rsidR="007B671C" w:rsidRPr="00516E8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BE" w14:textId="77777777" w:rsidR="007B671C" w:rsidRPr="00516E8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BF" w14:textId="77777777" w:rsidR="007B671C" w:rsidRPr="00516E8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B8335D" w14:paraId="0700EDCE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C1" w14:textId="77777777" w:rsidR="007B671C" w:rsidRPr="00B8335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8335D">
              <w:rPr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347" w:type="dxa"/>
            <w:gridSpan w:val="2"/>
          </w:tcPr>
          <w:p w14:paraId="0700EDC2" w14:textId="77777777" w:rsidR="007B671C" w:rsidRPr="00B8335D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8335D">
              <w:rPr>
                <w:bCs/>
                <w:color w:val="auto"/>
                <w:sz w:val="16"/>
                <w:szCs w:val="16"/>
              </w:rPr>
              <w:t>Disclosure Controls</w:t>
            </w:r>
          </w:p>
        </w:tc>
        <w:tc>
          <w:tcPr>
            <w:tcW w:w="1570" w:type="dxa"/>
          </w:tcPr>
          <w:p w14:paraId="0700EDC3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Rule 30a-2 of ICA.</w:t>
            </w:r>
          </w:p>
          <w:p w14:paraId="0700EDC4" w14:textId="77777777" w:rsidR="007B671C" w:rsidRPr="00B8335D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B8335D">
              <w:rPr>
                <w:bCs/>
                <w:color w:val="auto"/>
                <w:sz w:val="16"/>
                <w:szCs w:val="16"/>
              </w:rPr>
              <w:t>Section 906</w:t>
            </w:r>
            <w:r>
              <w:rPr>
                <w:bCs/>
                <w:color w:val="auto"/>
                <w:sz w:val="16"/>
                <w:szCs w:val="16"/>
              </w:rPr>
              <w:t xml:space="preserve"> of SOX.</w:t>
            </w:r>
          </w:p>
          <w:p w14:paraId="0700EDC5" w14:textId="77777777" w:rsidR="007B671C" w:rsidRPr="00B8335D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B8335D">
              <w:rPr>
                <w:bCs/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DC6" w14:textId="77777777" w:rsidR="007B671C" w:rsidRPr="00B8335D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8335D">
              <w:rPr>
                <w:bCs/>
                <w:color w:val="auto"/>
                <w:sz w:val="16"/>
                <w:szCs w:val="16"/>
              </w:rPr>
              <w:t>Failure to</w:t>
            </w:r>
            <w:r>
              <w:rPr>
                <w:bCs/>
                <w:color w:val="auto"/>
                <w:sz w:val="16"/>
                <w:szCs w:val="16"/>
              </w:rPr>
              <w:t xml:space="preserve"> enforce a quality control process that reasonably ensures accuracy and adequacy of disclosures</w:t>
            </w:r>
            <w:r w:rsidRPr="00B8335D">
              <w:rPr>
                <w:bCs/>
                <w:color w:val="auto"/>
                <w:sz w:val="16"/>
                <w:szCs w:val="16"/>
              </w:rPr>
              <w:t xml:space="preserve"> in various fund</w:t>
            </w:r>
            <w:r>
              <w:rPr>
                <w:bCs/>
                <w:color w:val="auto"/>
                <w:sz w:val="16"/>
                <w:szCs w:val="16"/>
              </w:rPr>
              <w:t xml:space="preserve"> reports including proxy statements, Form N-CRS, </w:t>
            </w:r>
            <w:r w:rsidRPr="00B8335D">
              <w:rPr>
                <w:bCs/>
                <w:color w:val="auto"/>
                <w:sz w:val="16"/>
                <w:szCs w:val="16"/>
              </w:rPr>
              <w:t>From N-Q and certifications under Rule 30a-2 and Section 906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</w:tcPr>
          <w:p w14:paraId="0700EDC7" w14:textId="77777777" w:rsidR="007B671C" w:rsidRPr="00B8335D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C8" w14:textId="77777777" w:rsidR="007B671C" w:rsidRPr="00B8335D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C9" w14:textId="77777777" w:rsidR="007B671C" w:rsidRPr="00B8335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CA" w14:textId="77777777" w:rsidR="007B671C" w:rsidRPr="00B8335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CB" w14:textId="77777777" w:rsidR="007B671C" w:rsidRPr="00B8335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CC" w14:textId="77777777" w:rsidR="007B671C" w:rsidRPr="00B8335D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CD" w14:textId="77777777" w:rsidR="007B671C" w:rsidRPr="00B8335D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87C9F" w14:paraId="0700EDDF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DCF" w14:textId="77777777" w:rsidR="007B671C" w:rsidRPr="00D87C9F" w:rsidRDefault="007B671C" w:rsidP="007B671C">
            <w:pPr>
              <w:jc w:val="center"/>
              <w:rPr>
                <w:sz w:val="16"/>
                <w:szCs w:val="16"/>
              </w:rPr>
            </w:pPr>
            <w:r w:rsidRPr="00D87C9F">
              <w:rPr>
                <w:sz w:val="16"/>
                <w:szCs w:val="16"/>
              </w:rPr>
              <w:t>19</w:t>
            </w:r>
          </w:p>
        </w:tc>
        <w:tc>
          <w:tcPr>
            <w:tcW w:w="1347" w:type="dxa"/>
            <w:gridSpan w:val="2"/>
          </w:tcPr>
          <w:p w14:paraId="0700EDD0" w14:textId="77777777" w:rsidR="007B671C" w:rsidRPr="00D87C9F" w:rsidRDefault="007B671C" w:rsidP="007B671C">
            <w:pPr>
              <w:spacing w:after="60"/>
              <w:rPr>
                <w:sz w:val="16"/>
                <w:szCs w:val="16"/>
              </w:rPr>
            </w:pPr>
            <w:r w:rsidRPr="00D87C9F">
              <w:rPr>
                <w:sz w:val="16"/>
                <w:szCs w:val="16"/>
              </w:rPr>
              <w:t>Disclosure of Portfolio Holdings</w:t>
            </w:r>
          </w:p>
        </w:tc>
        <w:tc>
          <w:tcPr>
            <w:tcW w:w="1570" w:type="dxa"/>
          </w:tcPr>
          <w:p w14:paraId="0700EDD1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Fiduciary duties to clients.</w:t>
            </w:r>
          </w:p>
          <w:p w14:paraId="0700EDD2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Rule 10b-5 and insider trading laws.</w:t>
            </w:r>
          </w:p>
          <w:p w14:paraId="0700EDD3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Prospectus disclosures</w:t>
            </w:r>
          </w:p>
          <w:p w14:paraId="0700EDD4" w14:textId="77777777" w:rsidR="007B671C" w:rsidRPr="00D87C9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206(4)-7 Procedures</w:t>
            </w:r>
          </w:p>
          <w:p w14:paraId="0700EDD5" w14:textId="77777777" w:rsidR="007B671C" w:rsidRPr="00D87C9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87C9F">
              <w:rPr>
                <w:bCs/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DD6" w14:textId="77777777" w:rsidR="007B671C" w:rsidRPr="00D87C9F" w:rsidRDefault="007B671C" w:rsidP="007B671C">
            <w:pPr>
              <w:spacing w:after="60"/>
              <w:rPr>
                <w:sz w:val="16"/>
                <w:szCs w:val="16"/>
              </w:rPr>
            </w:pPr>
            <w:r w:rsidRPr="00D87C9F">
              <w:rPr>
                <w:sz w:val="16"/>
                <w:szCs w:val="16"/>
              </w:rPr>
              <w:t xml:space="preserve">1. The firm or employees disclose portfolio holdings in contradiction of firm policies </w:t>
            </w:r>
            <w:r>
              <w:rPr>
                <w:sz w:val="16"/>
                <w:szCs w:val="16"/>
              </w:rPr>
              <w:t>and</w:t>
            </w:r>
            <w:r w:rsidRPr="00D87C9F">
              <w:rPr>
                <w:sz w:val="16"/>
                <w:szCs w:val="16"/>
              </w:rPr>
              <w:t xml:space="preserve"> procedures</w:t>
            </w:r>
            <w:r>
              <w:rPr>
                <w:sz w:val="16"/>
                <w:szCs w:val="16"/>
              </w:rPr>
              <w:t>.</w:t>
            </w:r>
          </w:p>
          <w:p w14:paraId="0700EDD7" w14:textId="77777777" w:rsidR="007B671C" w:rsidRPr="00D87C9F" w:rsidRDefault="007B671C" w:rsidP="007B671C">
            <w:pPr>
              <w:spacing w:after="60"/>
              <w:rPr>
                <w:sz w:val="16"/>
                <w:szCs w:val="16"/>
              </w:rPr>
            </w:pPr>
            <w:r w:rsidRPr="00D87C9F">
              <w:rPr>
                <w:sz w:val="16"/>
                <w:szCs w:val="16"/>
              </w:rPr>
              <w:t xml:space="preserve">2. Failure to obtain confidentiality agreements </w:t>
            </w:r>
            <w:r>
              <w:rPr>
                <w:sz w:val="16"/>
                <w:szCs w:val="16"/>
              </w:rPr>
              <w:t>for early disclosure.</w:t>
            </w:r>
          </w:p>
        </w:tc>
        <w:tc>
          <w:tcPr>
            <w:tcW w:w="2005" w:type="dxa"/>
            <w:gridSpan w:val="2"/>
          </w:tcPr>
          <w:p w14:paraId="0700EDD8" w14:textId="77777777" w:rsidR="007B671C" w:rsidRPr="00D87C9F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DD9" w14:textId="77777777" w:rsidR="007B671C" w:rsidRPr="00D87C9F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DDA" w14:textId="77777777" w:rsidR="007B671C" w:rsidRPr="00D87C9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DDB" w14:textId="77777777" w:rsidR="007B671C" w:rsidRPr="00D87C9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DDC" w14:textId="77777777" w:rsidR="007B671C" w:rsidRPr="00D87C9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DDD" w14:textId="77777777" w:rsidR="007B671C" w:rsidRPr="00D87C9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DDE" w14:textId="77777777" w:rsidR="007B671C" w:rsidRPr="00D87C9F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E6E40" w14:paraId="0700EDEF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  <w:tcBorders>
              <w:bottom w:val="single" w:sz="6" w:space="0" w:color="000000"/>
            </w:tcBorders>
          </w:tcPr>
          <w:p w14:paraId="0700EDE0" w14:textId="77777777" w:rsidR="007B671C" w:rsidRPr="00DE6E4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DE6E40">
              <w:rPr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347" w:type="dxa"/>
            <w:gridSpan w:val="2"/>
            <w:tcBorders>
              <w:bottom w:val="single" w:sz="6" w:space="0" w:color="000000"/>
            </w:tcBorders>
          </w:tcPr>
          <w:p w14:paraId="0700EDE1" w14:textId="77777777" w:rsidR="007B671C" w:rsidRPr="00DE6E4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Emails and</w:t>
            </w:r>
            <w:r w:rsidRPr="00DE6E40">
              <w:rPr>
                <w:bCs/>
                <w:color w:val="auto"/>
                <w:sz w:val="16"/>
                <w:szCs w:val="16"/>
              </w:rPr>
              <w:t xml:space="preserve"> Instant Messaging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700EDE2" w14:textId="77777777" w:rsidR="007B671C" w:rsidRPr="00150BD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 and FINRA guidance on advertisements by investment advisers and funds</w:t>
            </w:r>
          </w:p>
          <w:p w14:paraId="0700EDE3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Record Retention rules</w:t>
            </w:r>
          </w:p>
          <w:p w14:paraId="0700EDE4" w14:textId="77777777" w:rsidR="007B671C" w:rsidRPr="00DE6E4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206(4)-7 Procedures</w:t>
            </w:r>
          </w:p>
        </w:tc>
        <w:tc>
          <w:tcPr>
            <w:tcW w:w="2855" w:type="dxa"/>
            <w:tcBorders>
              <w:bottom w:val="single" w:sz="6" w:space="0" w:color="000000"/>
            </w:tcBorders>
          </w:tcPr>
          <w:p w14:paraId="0700EDE5" w14:textId="77777777" w:rsidR="007B671C" w:rsidRPr="00DE6E4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E6E40">
              <w:rPr>
                <w:bCs/>
                <w:color w:val="auto"/>
                <w:sz w:val="16"/>
                <w:szCs w:val="16"/>
              </w:rPr>
              <w:t>1. Failure to adopt and implement email policies and procedures including record retention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DE6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E6E40">
              <w:rPr>
                <w:bCs/>
                <w:color w:val="auto"/>
                <w:sz w:val="16"/>
                <w:szCs w:val="16"/>
              </w:rPr>
              <w:t xml:space="preserve">2. Failure to centrally maintain emails and permit automatic deletion after </w:t>
            </w:r>
            <w:r>
              <w:rPr>
                <w:bCs/>
                <w:color w:val="auto"/>
                <w:sz w:val="16"/>
                <w:szCs w:val="16"/>
              </w:rPr>
              <w:t>specified periods.</w:t>
            </w:r>
          </w:p>
          <w:p w14:paraId="0700EDE7" w14:textId="77777777" w:rsidR="007B671C" w:rsidRPr="00DE6E4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3. Failure to have client correspondence reviewed and approved, if required.</w:t>
            </w:r>
          </w:p>
        </w:tc>
        <w:tc>
          <w:tcPr>
            <w:tcW w:w="2005" w:type="dxa"/>
            <w:gridSpan w:val="2"/>
            <w:tcBorders>
              <w:bottom w:val="single" w:sz="6" w:space="0" w:color="000000"/>
            </w:tcBorders>
          </w:tcPr>
          <w:p w14:paraId="0700EDE8" w14:textId="77777777" w:rsidR="007B671C" w:rsidRPr="00DE6E40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bottom w:val="single" w:sz="6" w:space="0" w:color="000000"/>
            </w:tcBorders>
          </w:tcPr>
          <w:p w14:paraId="0700EDE9" w14:textId="77777777" w:rsidR="007B671C" w:rsidRPr="00DE6E40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bottom w:val="single" w:sz="6" w:space="0" w:color="000000"/>
            </w:tcBorders>
          </w:tcPr>
          <w:p w14:paraId="0700EDEA" w14:textId="77777777" w:rsidR="007B671C" w:rsidRPr="00DE6E4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</w:tcPr>
          <w:p w14:paraId="0700EDEB" w14:textId="77777777" w:rsidR="007B671C" w:rsidRPr="00DE6E4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bottom w:val="single" w:sz="6" w:space="0" w:color="000000"/>
            </w:tcBorders>
          </w:tcPr>
          <w:p w14:paraId="0700EDEC" w14:textId="77777777" w:rsidR="007B671C" w:rsidRPr="00DE6E4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bottom w:val="single" w:sz="6" w:space="0" w:color="000000"/>
            </w:tcBorders>
          </w:tcPr>
          <w:p w14:paraId="0700EDED" w14:textId="77777777" w:rsidR="007B671C" w:rsidRPr="00DE6E4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 w14:paraId="0700EDEE" w14:textId="77777777" w:rsidR="007B671C" w:rsidRPr="00DE6E4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9E4D66" w14:paraId="0700EDFD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00EDF0" w14:textId="77777777" w:rsidR="007B671C" w:rsidRPr="009E4D6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E4D66">
              <w:rPr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1" w14:textId="77777777" w:rsidR="007B671C" w:rsidRPr="009E4D6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E4D66">
              <w:rPr>
                <w:bCs/>
                <w:color w:val="auto"/>
                <w:sz w:val="16"/>
                <w:szCs w:val="16"/>
              </w:rPr>
              <w:t>Employee Trai</w:t>
            </w:r>
            <w:r>
              <w:rPr>
                <w:bCs/>
                <w:color w:val="auto"/>
                <w:sz w:val="16"/>
                <w:szCs w:val="16"/>
              </w:rPr>
              <w:t>ning and</w:t>
            </w:r>
            <w:r w:rsidRPr="009E4D66">
              <w:rPr>
                <w:bCs/>
                <w:color w:val="auto"/>
                <w:sz w:val="16"/>
                <w:szCs w:val="16"/>
              </w:rPr>
              <w:t xml:space="preserve"> Supervision 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6" w:space="0" w:color="000000"/>
            </w:tcBorders>
          </w:tcPr>
          <w:p w14:paraId="0700EDF2" w14:textId="77777777" w:rsidR="007B671C" w:rsidRPr="009E4D66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9E4D66">
              <w:rPr>
                <w:color w:val="auto"/>
                <w:sz w:val="16"/>
                <w:szCs w:val="16"/>
              </w:rPr>
              <w:t xml:space="preserve">Rule 206(4)-7 Procedures </w:t>
            </w:r>
          </w:p>
          <w:p w14:paraId="0700EDF3" w14:textId="77777777" w:rsidR="007B671C" w:rsidRPr="009E4D6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E4D66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</w:tcBorders>
          </w:tcPr>
          <w:p w14:paraId="0700EDF4" w14:textId="77777777" w:rsidR="007B671C" w:rsidRDefault="007B671C" w:rsidP="007B671C">
            <w:pPr>
              <w:spacing w:after="60"/>
              <w:rPr>
                <w:sz w:val="16"/>
                <w:szCs w:val="16"/>
              </w:rPr>
            </w:pPr>
            <w:r w:rsidRPr="009E4D66">
              <w:rPr>
                <w:sz w:val="16"/>
                <w:szCs w:val="16"/>
              </w:rPr>
              <w:t>1. Failure to prov</w:t>
            </w:r>
            <w:r>
              <w:rPr>
                <w:sz w:val="16"/>
                <w:szCs w:val="16"/>
              </w:rPr>
              <w:t>ide adequate employee training for</w:t>
            </w:r>
            <w:r w:rsidRPr="009E4D66">
              <w:rPr>
                <w:sz w:val="16"/>
                <w:szCs w:val="16"/>
              </w:rPr>
              <w:t xml:space="preserve"> new employees and periodic/annual training programs for existing employees and documentation of the training program</w:t>
            </w:r>
            <w:r>
              <w:rPr>
                <w:sz w:val="16"/>
                <w:szCs w:val="16"/>
              </w:rPr>
              <w:t>.</w:t>
            </w:r>
          </w:p>
          <w:p w14:paraId="0700EDF5" w14:textId="77777777" w:rsidR="007B671C" w:rsidRPr="009E4D66" w:rsidRDefault="007B671C" w:rsidP="007B671C">
            <w:pPr>
              <w:spacing w:after="60"/>
              <w:rPr>
                <w:sz w:val="16"/>
                <w:szCs w:val="16"/>
              </w:rPr>
            </w:pPr>
            <w:r w:rsidRPr="009E4D66">
              <w:rPr>
                <w:sz w:val="16"/>
                <w:szCs w:val="16"/>
              </w:rPr>
              <w:t>2. Failure to supervise employees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6" w14:textId="77777777" w:rsidR="007B671C" w:rsidRPr="009E4D66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7" w14:textId="77777777" w:rsidR="007B671C" w:rsidRPr="009E4D66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8" w14:textId="77777777" w:rsidR="007B671C" w:rsidRPr="009E4D6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9" w14:textId="77777777" w:rsidR="007B671C" w:rsidRPr="009E4D6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A" w14:textId="77777777" w:rsidR="007B671C" w:rsidRPr="009E4D6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00EDFB" w14:textId="77777777" w:rsidR="007B671C" w:rsidRPr="009E4D6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EDFC" w14:textId="77777777" w:rsidR="007B671C" w:rsidRPr="009E4D66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A13991" w14:paraId="0700EE0C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  <w:tcBorders>
              <w:top w:val="single" w:sz="6" w:space="0" w:color="000000"/>
            </w:tcBorders>
          </w:tcPr>
          <w:p w14:paraId="0700EDFE" w14:textId="77777777" w:rsidR="007B671C" w:rsidRPr="00A1399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</w:tcBorders>
          </w:tcPr>
          <w:p w14:paraId="0700EDFF" w14:textId="77777777" w:rsidR="007B671C" w:rsidRPr="00A1399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bCs/>
                <w:color w:val="auto"/>
                <w:sz w:val="16"/>
                <w:szCs w:val="16"/>
              </w:rPr>
              <w:t xml:space="preserve">Entertainment, Travel, Lodging 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 w14:paraId="0700EE00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FINRA rules</w:t>
            </w:r>
          </w:p>
          <w:p w14:paraId="0700EE01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ERISA Form LM-10</w:t>
            </w:r>
          </w:p>
          <w:p w14:paraId="0700EE02" w14:textId="77777777" w:rsidR="007B671C" w:rsidRPr="00A1399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55" w:type="dxa"/>
            <w:tcBorders>
              <w:top w:val="single" w:sz="6" w:space="0" w:color="000000"/>
            </w:tcBorders>
          </w:tcPr>
          <w:p w14:paraId="0700EE03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1. </w:t>
            </w:r>
            <w:r w:rsidRPr="00A13991">
              <w:rPr>
                <w:color w:val="auto"/>
                <w:sz w:val="16"/>
                <w:szCs w:val="16"/>
              </w:rPr>
              <w:t xml:space="preserve">Failure to prevent employees from being influenced in selecting broker-dealers to execute transactions or provide research for its clients or select service providers based on </w:t>
            </w:r>
            <w:r>
              <w:rPr>
                <w:color w:val="auto"/>
                <w:sz w:val="16"/>
                <w:szCs w:val="16"/>
              </w:rPr>
              <w:t>excessive</w:t>
            </w:r>
            <w:r w:rsidRPr="00A13991">
              <w:rPr>
                <w:color w:val="auto"/>
                <w:sz w:val="16"/>
                <w:szCs w:val="16"/>
              </w:rPr>
              <w:t xml:space="preserve"> entertainment and/or payment fo</w:t>
            </w:r>
            <w:r>
              <w:rPr>
                <w:color w:val="auto"/>
                <w:sz w:val="16"/>
                <w:szCs w:val="16"/>
              </w:rPr>
              <w:t>r inappropriate</w:t>
            </w:r>
            <w:r w:rsidRPr="00A13991">
              <w:rPr>
                <w:color w:val="auto"/>
                <w:sz w:val="16"/>
                <w:szCs w:val="16"/>
              </w:rPr>
              <w:t xml:space="preserve"> travel, lodging, dining and beverages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EE04" w14:textId="77777777" w:rsidR="007B671C" w:rsidRPr="00A13991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2. Provide entertainment to government officials and fiduciary clients in excess of permissible guidelines.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</w:tcBorders>
          </w:tcPr>
          <w:p w14:paraId="0700EE05" w14:textId="77777777" w:rsidR="007B671C" w:rsidRPr="00A13991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</w:tcBorders>
          </w:tcPr>
          <w:p w14:paraId="0700EE06" w14:textId="77777777" w:rsidR="007B671C" w:rsidRPr="00A13991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</w:tcBorders>
          </w:tcPr>
          <w:p w14:paraId="0700EE07" w14:textId="77777777" w:rsidR="007B671C" w:rsidRPr="00A1399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</w:tcBorders>
          </w:tcPr>
          <w:p w14:paraId="0700EE08" w14:textId="77777777" w:rsidR="007B671C" w:rsidRPr="00A1399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</w:tcBorders>
          </w:tcPr>
          <w:p w14:paraId="0700EE09" w14:textId="77777777" w:rsidR="007B671C" w:rsidRPr="00A1399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</w:tcBorders>
          </w:tcPr>
          <w:p w14:paraId="0700EE0A" w14:textId="77777777" w:rsidR="007B671C" w:rsidRPr="00A1399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000000"/>
            </w:tcBorders>
          </w:tcPr>
          <w:p w14:paraId="0700EE0B" w14:textId="77777777" w:rsidR="007B671C" w:rsidRPr="00A13991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E19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E0D" w14:textId="77777777" w:rsidR="007B671C" w:rsidRPr="00A1399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347" w:type="dxa"/>
            <w:gridSpan w:val="2"/>
          </w:tcPr>
          <w:p w14:paraId="0700EE0E" w14:textId="77777777" w:rsidR="007B671C" w:rsidRPr="00A1399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bCs/>
                <w:color w:val="auto"/>
                <w:sz w:val="16"/>
                <w:szCs w:val="16"/>
              </w:rPr>
              <w:t>Fidelity Bond Coverage</w:t>
            </w:r>
          </w:p>
        </w:tc>
        <w:tc>
          <w:tcPr>
            <w:tcW w:w="1570" w:type="dxa"/>
          </w:tcPr>
          <w:p w14:paraId="0700EE0F" w14:textId="77777777" w:rsidR="007B671C" w:rsidRPr="00A13991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A13991">
              <w:rPr>
                <w:sz w:val="16"/>
                <w:szCs w:val="16"/>
              </w:rPr>
              <w:t xml:space="preserve">Rule 17g-1 </w:t>
            </w:r>
            <w:r>
              <w:rPr>
                <w:sz w:val="16"/>
                <w:szCs w:val="16"/>
              </w:rPr>
              <w:t>of the ICA</w:t>
            </w:r>
          </w:p>
          <w:p w14:paraId="0700EE10" w14:textId="77777777" w:rsidR="007B671C" w:rsidRPr="00A13991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A13991">
              <w:rPr>
                <w:sz w:val="16"/>
                <w:szCs w:val="16"/>
              </w:rPr>
              <w:t>Rule 38a-1 Procedures</w:t>
            </w:r>
          </w:p>
        </w:tc>
        <w:tc>
          <w:tcPr>
            <w:tcW w:w="2855" w:type="dxa"/>
          </w:tcPr>
          <w:p w14:paraId="0700EE11" w14:textId="77777777" w:rsidR="007B671C" w:rsidRPr="00A1399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bCs/>
                <w:color w:val="auto"/>
                <w:sz w:val="16"/>
                <w:szCs w:val="16"/>
              </w:rPr>
              <w:t xml:space="preserve">Failure to maintain </w:t>
            </w:r>
            <w:r>
              <w:rPr>
                <w:bCs/>
                <w:color w:val="auto"/>
                <w:sz w:val="16"/>
                <w:szCs w:val="16"/>
              </w:rPr>
              <w:t xml:space="preserve">adequate </w:t>
            </w:r>
            <w:r w:rsidRPr="00A13991">
              <w:rPr>
                <w:bCs/>
                <w:color w:val="auto"/>
                <w:sz w:val="16"/>
                <w:szCs w:val="16"/>
              </w:rPr>
              <w:t xml:space="preserve">fidelity bond </w:t>
            </w:r>
            <w:r>
              <w:rPr>
                <w:bCs/>
                <w:color w:val="auto"/>
                <w:sz w:val="16"/>
                <w:szCs w:val="16"/>
              </w:rPr>
              <w:t xml:space="preserve">coverage and file with </w:t>
            </w:r>
            <w:r w:rsidRPr="00A13991">
              <w:rPr>
                <w:bCs/>
                <w:color w:val="auto"/>
                <w:sz w:val="16"/>
                <w:szCs w:val="16"/>
              </w:rPr>
              <w:t>SEC as required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</w:tcPr>
          <w:p w14:paraId="0700EE12" w14:textId="77777777" w:rsidR="007B671C" w:rsidRPr="00D37FF2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802" w:type="dxa"/>
            <w:gridSpan w:val="2"/>
          </w:tcPr>
          <w:p w14:paraId="0700EE13" w14:textId="77777777" w:rsidR="007B671C" w:rsidRPr="00D37FF2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848" w:type="dxa"/>
            <w:gridSpan w:val="2"/>
          </w:tcPr>
          <w:p w14:paraId="0700EE14" w14:textId="77777777" w:rsidR="007B671C" w:rsidRPr="00D37FF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789" w:type="dxa"/>
            <w:gridSpan w:val="2"/>
          </w:tcPr>
          <w:p w14:paraId="0700EE15" w14:textId="77777777" w:rsidR="007B671C" w:rsidRPr="00D37FF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795" w:type="dxa"/>
            <w:gridSpan w:val="2"/>
          </w:tcPr>
          <w:p w14:paraId="0700EE16" w14:textId="77777777" w:rsidR="007B671C" w:rsidRPr="00D37FF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923" w:type="dxa"/>
            <w:gridSpan w:val="2"/>
          </w:tcPr>
          <w:p w14:paraId="0700EE17" w14:textId="77777777" w:rsidR="007B671C" w:rsidRPr="00D37FF2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1464" w:type="dxa"/>
          </w:tcPr>
          <w:p w14:paraId="0700EE18" w14:textId="77777777" w:rsidR="007B671C" w:rsidRPr="00D37FF2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  <w:highlight w:val="magenta"/>
              </w:rPr>
            </w:pPr>
          </w:p>
        </w:tc>
      </w:tr>
      <w:tr w:rsidR="007B671C" w:rsidRPr="008A6C08" w14:paraId="0700EE38" w14:textId="77777777" w:rsidTr="00DD41D8">
        <w:trPr>
          <w:trHeight w:val="777"/>
          <w:tblHeader/>
        </w:trPr>
        <w:tc>
          <w:tcPr>
            <w:tcW w:w="442" w:type="dxa"/>
            <w:gridSpan w:val="2"/>
          </w:tcPr>
          <w:p w14:paraId="0700EE1A" w14:textId="77777777" w:rsidR="007B671C" w:rsidRPr="008A6C08" w:rsidRDefault="007B671C" w:rsidP="007B671C">
            <w:pPr>
              <w:jc w:val="center"/>
              <w:rPr>
                <w:bCs/>
                <w:sz w:val="16"/>
                <w:szCs w:val="16"/>
              </w:rPr>
            </w:pPr>
            <w:r w:rsidRPr="008A6C08">
              <w:rPr>
                <w:bCs/>
                <w:sz w:val="16"/>
                <w:szCs w:val="16"/>
              </w:rPr>
              <w:t>24a</w:t>
            </w:r>
          </w:p>
        </w:tc>
        <w:tc>
          <w:tcPr>
            <w:tcW w:w="1347" w:type="dxa"/>
            <w:gridSpan w:val="2"/>
          </w:tcPr>
          <w:p w14:paraId="0700EE1B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Form ADV </w:t>
            </w:r>
            <w:r w:rsidRPr="008A6C08">
              <w:rPr>
                <w:bCs/>
                <w:sz w:val="16"/>
                <w:szCs w:val="16"/>
              </w:rPr>
              <w:t>Disclosures</w:t>
            </w:r>
          </w:p>
        </w:tc>
        <w:tc>
          <w:tcPr>
            <w:tcW w:w="1570" w:type="dxa"/>
          </w:tcPr>
          <w:p w14:paraId="0700EE1C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8A6C08">
              <w:rPr>
                <w:color w:val="auto"/>
                <w:sz w:val="16"/>
                <w:szCs w:val="16"/>
              </w:rPr>
              <w:t>Section 204-3</w:t>
            </w:r>
            <w:r>
              <w:rPr>
                <w:color w:val="auto"/>
                <w:sz w:val="16"/>
                <w:szCs w:val="16"/>
              </w:rPr>
              <w:t xml:space="preserve"> of IA</w:t>
            </w:r>
          </w:p>
          <w:p w14:paraId="0700EE1D" w14:textId="77777777" w:rsidR="007B671C" w:rsidRPr="008A6C0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Form ADV</w:t>
            </w:r>
          </w:p>
          <w:p w14:paraId="0700EE1E" w14:textId="77777777" w:rsidR="007B671C" w:rsidRPr="008A6C0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8A6C08">
              <w:rPr>
                <w:color w:val="auto"/>
                <w:sz w:val="16"/>
                <w:szCs w:val="16"/>
              </w:rPr>
              <w:t>Written disclosure statements</w:t>
            </w:r>
          </w:p>
        </w:tc>
        <w:tc>
          <w:tcPr>
            <w:tcW w:w="2855" w:type="dxa"/>
          </w:tcPr>
          <w:p w14:paraId="0700EE1F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ilure to disclose and</w:t>
            </w:r>
            <w:r w:rsidRPr="008A6C08">
              <w:rPr>
                <w:sz w:val="16"/>
                <w:szCs w:val="16"/>
              </w:rPr>
              <w:t xml:space="preserve"> keep current:</w:t>
            </w:r>
          </w:p>
          <w:p w14:paraId="0700EE20" w14:textId="77777777" w:rsidR="007B671C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1. Affiliations with broker-dealers or other businesses</w:t>
            </w:r>
          </w:p>
          <w:p w14:paraId="0700EE21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2. Actual &amp; potential conflicts of interest, including the firm’s proprietary trading</w:t>
            </w:r>
          </w:p>
          <w:p w14:paraId="0700EE22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3. Incentive-based compensation – performance fees</w:t>
            </w:r>
          </w:p>
          <w:p w14:paraId="0700EE23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4. Material facts relating to financial issues, criminal offenses, and or disciplinary actions</w:t>
            </w:r>
          </w:p>
          <w:p w14:paraId="0700EE24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5. Soft dollar practices</w:t>
            </w:r>
          </w:p>
          <w:p w14:paraId="0700EE25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6. Portfolio management &amp; trade allocation procedures</w:t>
            </w:r>
          </w:p>
          <w:p w14:paraId="0700EE26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7. Proxy voting practices</w:t>
            </w:r>
          </w:p>
          <w:p w14:paraId="0700EE27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8. Code of ethics practices</w:t>
            </w:r>
          </w:p>
          <w:p w14:paraId="0700EE28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9. Solicitation/marketing arrangements</w:t>
            </w:r>
          </w:p>
          <w:p w14:paraId="0700EE29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10. Fee structures &amp; non-affiliated mutual fund fees</w:t>
            </w:r>
          </w:p>
          <w:p w14:paraId="0700EE2A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11. Proprietary trading practices</w:t>
            </w:r>
          </w:p>
          <w:p w14:paraId="0700EE2B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12. Lines of business such as managing mutual funds</w:t>
            </w:r>
          </w:p>
          <w:p w14:paraId="0700EE2C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14. A</w:t>
            </w:r>
            <w:r w:rsidRPr="008A6C08">
              <w:rPr>
                <w:bCs/>
                <w:sz w:val="16"/>
                <w:szCs w:val="16"/>
              </w:rPr>
              <w:t>ffiliated service providers without disclosing possible conflicts</w:t>
            </w:r>
          </w:p>
          <w:p w14:paraId="0700EE2D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14. Other business activities/locations</w:t>
            </w:r>
          </w:p>
          <w:p w14:paraId="0700EE2E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15. Cross trade practices</w:t>
            </w:r>
          </w:p>
          <w:p w14:paraId="0700EE2F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>16. Correct AUM &amp; # of clients</w:t>
            </w:r>
          </w:p>
          <w:p w14:paraId="0700EE30" w14:textId="77777777" w:rsidR="007B671C" w:rsidRPr="008A6C08" w:rsidRDefault="007B671C" w:rsidP="007B671C">
            <w:pPr>
              <w:spacing w:after="60"/>
              <w:rPr>
                <w:sz w:val="16"/>
                <w:szCs w:val="16"/>
              </w:rPr>
            </w:pPr>
            <w:r w:rsidRPr="008A6C08">
              <w:rPr>
                <w:sz w:val="16"/>
                <w:szCs w:val="16"/>
              </w:rPr>
              <w:t xml:space="preserve">17. Material omissions </w:t>
            </w:r>
          </w:p>
        </w:tc>
        <w:tc>
          <w:tcPr>
            <w:tcW w:w="2005" w:type="dxa"/>
            <w:gridSpan w:val="2"/>
          </w:tcPr>
          <w:p w14:paraId="0700EE31" w14:textId="77777777" w:rsidR="007B671C" w:rsidRPr="008A6C0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E32" w14:textId="77777777" w:rsidR="007B671C" w:rsidRPr="008A6C08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E33" w14:textId="77777777" w:rsidR="007B671C" w:rsidRPr="008A6C0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E34" w14:textId="77777777" w:rsidR="007B671C" w:rsidRPr="008A6C0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E35" w14:textId="77777777" w:rsidR="007B671C" w:rsidRPr="008A6C0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E36" w14:textId="77777777" w:rsidR="007B671C" w:rsidRPr="008A6C0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37" w14:textId="77777777" w:rsidR="007B671C" w:rsidRPr="008A6C0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D41D8" w14:paraId="0700EE45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E39" w14:textId="77777777" w:rsidR="007B671C" w:rsidRPr="00DD41D8" w:rsidRDefault="007B671C" w:rsidP="007B671C">
            <w:pPr>
              <w:jc w:val="center"/>
              <w:rPr>
                <w:bCs/>
                <w:sz w:val="16"/>
                <w:szCs w:val="16"/>
              </w:rPr>
            </w:pPr>
            <w:r w:rsidRPr="00DD41D8">
              <w:rPr>
                <w:bCs/>
                <w:sz w:val="16"/>
                <w:szCs w:val="16"/>
              </w:rPr>
              <w:t>24b</w:t>
            </w:r>
          </w:p>
        </w:tc>
        <w:tc>
          <w:tcPr>
            <w:tcW w:w="1347" w:type="dxa"/>
            <w:gridSpan w:val="2"/>
          </w:tcPr>
          <w:p w14:paraId="0700EE3A" w14:textId="77777777" w:rsidR="007B671C" w:rsidRPr="00DD41D8" w:rsidRDefault="007B671C" w:rsidP="007B671C">
            <w:pPr>
              <w:spacing w:after="60"/>
              <w:rPr>
                <w:sz w:val="16"/>
                <w:szCs w:val="16"/>
              </w:rPr>
            </w:pPr>
            <w:r w:rsidRPr="00DD41D8">
              <w:rPr>
                <w:bCs/>
                <w:sz w:val="16"/>
                <w:szCs w:val="16"/>
              </w:rPr>
              <w:t>Form ADV - Annual Amendment</w:t>
            </w:r>
          </w:p>
        </w:tc>
        <w:tc>
          <w:tcPr>
            <w:tcW w:w="1570" w:type="dxa"/>
          </w:tcPr>
          <w:p w14:paraId="0700EE3B" w14:textId="77777777" w:rsidR="007B671C" w:rsidRPr="00DD41D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3" w:name="17:3.0.1.1.23.0.147.19"/>
            <w:r w:rsidRPr="00DD41D8">
              <w:rPr>
                <w:color w:val="auto"/>
                <w:sz w:val="16"/>
                <w:szCs w:val="16"/>
              </w:rPr>
              <w:t>Section 204-1</w:t>
            </w:r>
            <w:r>
              <w:rPr>
                <w:color w:val="auto"/>
                <w:sz w:val="16"/>
                <w:szCs w:val="16"/>
              </w:rPr>
              <w:t xml:space="preserve"> of the AA</w:t>
            </w:r>
          </w:p>
          <w:p w14:paraId="0700EE3C" w14:textId="77777777" w:rsidR="007B671C" w:rsidRPr="00DD41D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D41D8">
              <w:rPr>
                <w:color w:val="auto"/>
                <w:sz w:val="16"/>
                <w:szCs w:val="16"/>
              </w:rPr>
              <w:t>Amendments to application for registration</w:t>
            </w:r>
            <w:bookmarkEnd w:id="3"/>
          </w:p>
        </w:tc>
        <w:tc>
          <w:tcPr>
            <w:tcW w:w="2855" w:type="dxa"/>
          </w:tcPr>
          <w:p w14:paraId="0700EE3D" w14:textId="77777777" w:rsidR="007B671C" w:rsidRPr="00DD41D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D41D8">
              <w:rPr>
                <w:bCs/>
                <w:color w:val="auto"/>
                <w:sz w:val="16"/>
                <w:szCs w:val="16"/>
              </w:rPr>
              <w:t xml:space="preserve">Failure </w:t>
            </w:r>
            <w:r>
              <w:rPr>
                <w:bCs/>
                <w:color w:val="auto"/>
                <w:sz w:val="16"/>
                <w:szCs w:val="16"/>
              </w:rPr>
              <w:t xml:space="preserve">to amend Form ADV annually (w/in </w:t>
            </w:r>
            <w:r w:rsidRPr="00DD41D8">
              <w:rPr>
                <w:bCs/>
                <w:color w:val="auto"/>
                <w:sz w:val="16"/>
                <w:szCs w:val="16"/>
              </w:rPr>
              <w:t xml:space="preserve">90 days of FYE) and more frequently, if required, due to </w:t>
            </w:r>
            <w:r>
              <w:rPr>
                <w:bCs/>
                <w:color w:val="auto"/>
                <w:sz w:val="16"/>
                <w:szCs w:val="16"/>
              </w:rPr>
              <w:t>material subsequent events.</w:t>
            </w:r>
          </w:p>
        </w:tc>
        <w:tc>
          <w:tcPr>
            <w:tcW w:w="2005" w:type="dxa"/>
            <w:gridSpan w:val="2"/>
          </w:tcPr>
          <w:p w14:paraId="0700EE3E" w14:textId="77777777" w:rsidR="007B671C" w:rsidRPr="00DD41D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E3F" w14:textId="77777777" w:rsidR="007B671C" w:rsidRPr="00DD41D8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E40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E41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E42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E43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44" w14:textId="77777777" w:rsidR="007B671C" w:rsidRPr="00DD41D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D41D8" w14:paraId="0700EE53" w14:textId="77777777" w:rsidTr="00C90918">
        <w:trPr>
          <w:cantSplit/>
          <w:trHeight w:val="777"/>
          <w:tblHeader/>
        </w:trPr>
        <w:tc>
          <w:tcPr>
            <w:tcW w:w="442" w:type="dxa"/>
            <w:gridSpan w:val="2"/>
          </w:tcPr>
          <w:p w14:paraId="0700EE46" w14:textId="77777777" w:rsidR="007B671C" w:rsidRPr="00DD41D8" w:rsidRDefault="007B671C" w:rsidP="007B671C">
            <w:pPr>
              <w:jc w:val="center"/>
              <w:rPr>
                <w:bCs/>
                <w:sz w:val="16"/>
                <w:szCs w:val="16"/>
              </w:rPr>
            </w:pPr>
            <w:r w:rsidRPr="00DD41D8">
              <w:rPr>
                <w:bCs/>
                <w:sz w:val="16"/>
                <w:szCs w:val="16"/>
              </w:rPr>
              <w:t>24c</w:t>
            </w:r>
          </w:p>
        </w:tc>
        <w:tc>
          <w:tcPr>
            <w:tcW w:w="1347" w:type="dxa"/>
            <w:gridSpan w:val="2"/>
          </w:tcPr>
          <w:p w14:paraId="0700EE47" w14:textId="77777777" w:rsidR="007B671C" w:rsidRPr="00DD41D8" w:rsidRDefault="007B671C" w:rsidP="007B671C">
            <w:pPr>
              <w:spacing w:after="60"/>
              <w:rPr>
                <w:bCs/>
                <w:sz w:val="16"/>
                <w:szCs w:val="16"/>
              </w:rPr>
            </w:pPr>
            <w:r w:rsidRPr="00DD41D8">
              <w:rPr>
                <w:bCs/>
                <w:sz w:val="16"/>
                <w:szCs w:val="16"/>
              </w:rPr>
              <w:t>Client Directed Brokerage</w:t>
            </w:r>
          </w:p>
        </w:tc>
        <w:tc>
          <w:tcPr>
            <w:tcW w:w="1570" w:type="dxa"/>
          </w:tcPr>
          <w:p w14:paraId="0700EE48" w14:textId="77777777" w:rsidR="007B671C" w:rsidRPr="00DD41D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D41D8">
              <w:rPr>
                <w:color w:val="auto"/>
                <w:sz w:val="16"/>
                <w:szCs w:val="16"/>
              </w:rPr>
              <w:t>Section 204-3</w:t>
            </w:r>
            <w:r>
              <w:rPr>
                <w:color w:val="auto"/>
                <w:sz w:val="16"/>
                <w:szCs w:val="16"/>
              </w:rPr>
              <w:t xml:space="preserve"> of the AA</w:t>
            </w:r>
          </w:p>
          <w:p w14:paraId="0700EE49" w14:textId="77777777" w:rsidR="007B671C" w:rsidRPr="00DD41D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DD41D8">
              <w:rPr>
                <w:color w:val="auto"/>
                <w:sz w:val="16"/>
                <w:szCs w:val="16"/>
              </w:rPr>
              <w:t>Written disclosure statements</w:t>
            </w:r>
          </w:p>
        </w:tc>
        <w:tc>
          <w:tcPr>
            <w:tcW w:w="2855" w:type="dxa"/>
          </w:tcPr>
          <w:p w14:paraId="0700EE4A" w14:textId="77777777" w:rsidR="007B671C" w:rsidRPr="00DD41D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DD41D8">
              <w:rPr>
                <w:bCs/>
                <w:color w:val="auto"/>
                <w:sz w:val="16"/>
                <w:szCs w:val="16"/>
              </w:rPr>
              <w:t>1. Failure to disclose that client directed brokerage m</w:t>
            </w:r>
            <w:r>
              <w:rPr>
                <w:bCs/>
                <w:color w:val="auto"/>
                <w:sz w:val="16"/>
                <w:szCs w:val="16"/>
              </w:rPr>
              <w:t>ay not result in best execution i</w:t>
            </w:r>
            <w:r w:rsidRPr="00DD41D8">
              <w:rPr>
                <w:bCs/>
                <w:color w:val="auto"/>
                <w:sz w:val="16"/>
                <w:szCs w:val="16"/>
              </w:rPr>
              <w:t>n ADV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E4B" w14:textId="77777777" w:rsidR="007B671C" w:rsidRPr="00DD41D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2. </w:t>
            </w:r>
            <w:r w:rsidRPr="00DD41D8">
              <w:rPr>
                <w:bCs/>
                <w:color w:val="auto"/>
                <w:sz w:val="16"/>
                <w:szCs w:val="16"/>
              </w:rPr>
              <w:t>Failure to follow client instructions to use client’s brokers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05" w:type="dxa"/>
            <w:gridSpan w:val="2"/>
          </w:tcPr>
          <w:p w14:paraId="0700EE4C" w14:textId="77777777" w:rsidR="007B671C" w:rsidRPr="00DD41D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gridSpan w:val="2"/>
          </w:tcPr>
          <w:p w14:paraId="0700EE4D" w14:textId="77777777" w:rsidR="007B671C" w:rsidRPr="00DD41D8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0700EE4E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14:paraId="0700EE4F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700EE50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14:paraId="0700EE51" w14:textId="77777777" w:rsidR="007B671C" w:rsidRPr="00DD41D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52" w14:textId="77777777" w:rsidR="007B671C" w:rsidRPr="00DD41D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F57929" w14:paraId="0700EE61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54" w14:textId="77777777" w:rsidR="007B671C" w:rsidRPr="00F57929" w:rsidRDefault="007B671C" w:rsidP="007B671C">
            <w:pPr>
              <w:jc w:val="center"/>
              <w:rPr>
                <w:bCs/>
                <w:sz w:val="16"/>
                <w:szCs w:val="16"/>
              </w:rPr>
            </w:pPr>
            <w:r w:rsidRPr="00F57929">
              <w:rPr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1348" w:type="dxa"/>
            <w:gridSpan w:val="2"/>
          </w:tcPr>
          <w:p w14:paraId="0700EE55" w14:textId="77777777" w:rsidR="007B671C" w:rsidRPr="00F57929" w:rsidRDefault="007B671C" w:rsidP="007B671C">
            <w:pPr>
              <w:spacing w:after="60"/>
              <w:rPr>
                <w:sz w:val="16"/>
                <w:szCs w:val="16"/>
              </w:rPr>
            </w:pPr>
            <w:r w:rsidRPr="00F57929">
              <w:rPr>
                <w:bCs/>
                <w:sz w:val="16"/>
                <w:szCs w:val="16"/>
              </w:rPr>
              <w:t>Form ADV – Brochure Delivery, Initial and Annual</w:t>
            </w:r>
          </w:p>
        </w:tc>
        <w:tc>
          <w:tcPr>
            <w:tcW w:w="1576" w:type="dxa"/>
            <w:gridSpan w:val="2"/>
          </w:tcPr>
          <w:p w14:paraId="0700EE56" w14:textId="77777777" w:rsidR="007B671C" w:rsidRPr="00F5792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4" w:name="17:3.0.1.1.23.0.147.21"/>
            <w:r w:rsidRPr="00F57929">
              <w:rPr>
                <w:color w:val="auto"/>
                <w:sz w:val="16"/>
                <w:szCs w:val="16"/>
              </w:rPr>
              <w:t>Section 204-3</w:t>
            </w:r>
            <w:r>
              <w:rPr>
                <w:color w:val="auto"/>
                <w:sz w:val="16"/>
                <w:szCs w:val="16"/>
              </w:rPr>
              <w:t xml:space="preserve"> of the AA</w:t>
            </w:r>
          </w:p>
          <w:p w14:paraId="0700EE57" w14:textId="77777777" w:rsidR="007B671C" w:rsidRPr="00F5792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57929">
              <w:rPr>
                <w:color w:val="auto"/>
                <w:sz w:val="16"/>
                <w:szCs w:val="16"/>
              </w:rPr>
              <w:t>Written disclosure statements</w:t>
            </w:r>
            <w:bookmarkEnd w:id="4"/>
          </w:p>
        </w:tc>
        <w:tc>
          <w:tcPr>
            <w:tcW w:w="2865" w:type="dxa"/>
            <w:gridSpan w:val="2"/>
          </w:tcPr>
          <w:p w14:paraId="0700EE58" w14:textId="77777777" w:rsidR="007B671C" w:rsidRPr="00F5792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57929">
              <w:rPr>
                <w:color w:val="auto"/>
                <w:sz w:val="16"/>
                <w:szCs w:val="16"/>
              </w:rPr>
              <w:t>1. Fai</w:t>
            </w:r>
            <w:r>
              <w:rPr>
                <w:color w:val="auto"/>
                <w:sz w:val="16"/>
                <w:szCs w:val="16"/>
              </w:rPr>
              <w:t>lure to provide Form ADV Part 2</w:t>
            </w:r>
            <w:r w:rsidRPr="00F57929">
              <w:rPr>
                <w:color w:val="auto"/>
                <w:sz w:val="16"/>
                <w:szCs w:val="16"/>
              </w:rPr>
              <w:t xml:space="preserve"> initially (48 hours prior to entering into written</w:t>
            </w:r>
            <w:r>
              <w:rPr>
                <w:color w:val="auto"/>
                <w:sz w:val="16"/>
                <w:szCs w:val="16"/>
              </w:rPr>
              <w:t xml:space="preserve"> or verbal agreement) and make</w:t>
            </w:r>
            <w:r w:rsidRPr="00F57929">
              <w:rPr>
                <w:color w:val="auto"/>
                <w:sz w:val="16"/>
                <w:szCs w:val="16"/>
              </w:rPr>
              <w:t xml:space="preserve"> an annual offering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EE59" w14:textId="77777777" w:rsidR="007B671C" w:rsidRPr="00F5792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7929">
              <w:rPr>
                <w:color w:val="auto"/>
                <w:sz w:val="16"/>
                <w:szCs w:val="16"/>
              </w:rPr>
              <w:t>2. Failure to keep records of dates provided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5A" w14:textId="77777777" w:rsidR="007B671C" w:rsidRPr="00F5792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5B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5C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5D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5E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5F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60" w14:textId="77777777" w:rsidR="007B671C" w:rsidRPr="00F5792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F57929" w14:paraId="0700EE72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62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57929">
              <w:rPr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1348" w:type="dxa"/>
            <w:gridSpan w:val="2"/>
          </w:tcPr>
          <w:p w14:paraId="0700EE63" w14:textId="77777777" w:rsidR="007B671C" w:rsidRPr="00F5792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7929">
              <w:rPr>
                <w:bCs/>
                <w:color w:val="auto"/>
                <w:sz w:val="16"/>
                <w:szCs w:val="16"/>
              </w:rPr>
              <w:t>Fund Governance</w:t>
            </w:r>
          </w:p>
        </w:tc>
        <w:tc>
          <w:tcPr>
            <w:tcW w:w="1576" w:type="dxa"/>
            <w:gridSpan w:val="2"/>
          </w:tcPr>
          <w:p w14:paraId="0700EE64" w14:textId="77777777" w:rsidR="007B671C" w:rsidRPr="00F5792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57929">
              <w:rPr>
                <w:color w:val="auto"/>
                <w:sz w:val="16"/>
                <w:szCs w:val="16"/>
              </w:rPr>
              <w:t>Corporate Governance</w:t>
            </w:r>
          </w:p>
          <w:p w14:paraId="0700EE65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57929">
              <w:rPr>
                <w:color w:val="auto"/>
                <w:sz w:val="16"/>
                <w:szCs w:val="16"/>
              </w:rPr>
              <w:t xml:space="preserve">Section </w:t>
            </w:r>
            <w:r>
              <w:rPr>
                <w:color w:val="auto"/>
                <w:sz w:val="16"/>
                <w:szCs w:val="16"/>
              </w:rPr>
              <w:t>15(c)</w:t>
            </w:r>
          </w:p>
          <w:p w14:paraId="0700EE66" w14:textId="77777777" w:rsidR="007B671C" w:rsidRPr="00F5792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57929">
              <w:rPr>
                <w:color w:val="auto"/>
                <w:sz w:val="16"/>
                <w:szCs w:val="16"/>
              </w:rPr>
              <w:t>Procedures Rule 38a-1 Procedures</w:t>
            </w:r>
          </w:p>
          <w:p w14:paraId="0700EE67" w14:textId="77777777" w:rsidR="007B671C" w:rsidRPr="00F5792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</w:p>
        </w:tc>
        <w:tc>
          <w:tcPr>
            <w:tcW w:w="2865" w:type="dxa"/>
            <w:gridSpan w:val="2"/>
          </w:tcPr>
          <w:p w14:paraId="0700EE68" w14:textId="77777777" w:rsidR="007B671C" w:rsidRPr="00F5792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7929">
              <w:rPr>
                <w:bCs/>
                <w:color w:val="auto"/>
                <w:sz w:val="16"/>
                <w:szCs w:val="16"/>
              </w:rPr>
              <w:t>1. Failure to ensure that the Fund Board is comprised of at least 75% of non-interested persons</w:t>
            </w:r>
            <w:r>
              <w:rPr>
                <w:bCs/>
                <w:color w:val="auto"/>
                <w:sz w:val="16"/>
                <w:szCs w:val="16"/>
              </w:rPr>
              <w:t xml:space="preserve"> and elected by shareholders, as required.</w:t>
            </w:r>
          </w:p>
          <w:p w14:paraId="0700EE69" w14:textId="77777777" w:rsidR="007B671C" w:rsidRPr="00F5792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7929">
              <w:rPr>
                <w:bCs/>
                <w:color w:val="auto"/>
                <w:sz w:val="16"/>
                <w:szCs w:val="16"/>
              </w:rPr>
              <w:t xml:space="preserve">2. Failure to ensure that the Board follows Section 15(c) in order to annually renew IA and principal underwriter contacts </w:t>
            </w:r>
          </w:p>
          <w:p w14:paraId="0700EE6A" w14:textId="77777777" w:rsidR="007B671C" w:rsidRPr="00F5792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7929">
              <w:rPr>
                <w:bCs/>
                <w:color w:val="auto"/>
                <w:sz w:val="16"/>
                <w:szCs w:val="16"/>
              </w:rPr>
              <w:t>3. Failure of Board of their fiduciary duty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6B" w14:textId="77777777" w:rsidR="007B671C" w:rsidRPr="00F5792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6C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6D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6E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6F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70" w14:textId="77777777" w:rsidR="007B671C" w:rsidRPr="00F5792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71" w14:textId="77777777" w:rsidR="007B671C" w:rsidRPr="00F5792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F74D24" w14:paraId="0700EE80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73" w14:textId="77777777" w:rsidR="007B671C" w:rsidRPr="00F74D2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74D24">
              <w:rPr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348" w:type="dxa"/>
            <w:gridSpan w:val="2"/>
          </w:tcPr>
          <w:p w14:paraId="0700EE74" w14:textId="77777777" w:rsidR="007B671C" w:rsidRPr="00F74D2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74D24">
              <w:rPr>
                <w:bCs/>
                <w:color w:val="auto"/>
                <w:sz w:val="16"/>
                <w:szCs w:val="16"/>
              </w:rPr>
              <w:t xml:space="preserve">Fund Supermarket </w:t>
            </w:r>
          </w:p>
        </w:tc>
        <w:tc>
          <w:tcPr>
            <w:tcW w:w="1576" w:type="dxa"/>
            <w:gridSpan w:val="2"/>
          </w:tcPr>
          <w:p w14:paraId="0700EE75" w14:textId="77777777" w:rsidR="007B671C" w:rsidRPr="00F74D2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74D24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EE76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74D24">
              <w:rPr>
                <w:bCs/>
                <w:color w:val="auto"/>
                <w:sz w:val="16"/>
                <w:szCs w:val="16"/>
              </w:rPr>
              <w:t xml:space="preserve">1. Funds enter into </w:t>
            </w:r>
            <w:r>
              <w:rPr>
                <w:bCs/>
                <w:color w:val="auto"/>
                <w:sz w:val="16"/>
                <w:szCs w:val="16"/>
              </w:rPr>
              <w:t xml:space="preserve">shareholder servicing </w:t>
            </w:r>
            <w:r w:rsidRPr="00F74D24">
              <w:rPr>
                <w:bCs/>
                <w:color w:val="auto"/>
                <w:sz w:val="16"/>
                <w:szCs w:val="16"/>
              </w:rPr>
              <w:t xml:space="preserve">agreements with </w:t>
            </w:r>
            <w:r>
              <w:rPr>
                <w:bCs/>
                <w:color w:val="auto"/>
                <w:sz w:val="16"/>
                <w:szCs w:val="16"/>
              </w:rPr>
              <w:t xml:space="preserve">financial </w:t>
            </w:r>
            <w:r w:rsidRPr="00F74D24">
              <w:rPr>
                <w:bCs/>
                <w:color w:val="auto"/>
                <w:sz w:val="16"/>
                <w:szCs w:val="16"/>
              </w:rPr>
              <w:t xml:space="preserve">intermediaries </w:t>
            </w:r>
            <w:r>
              <w:rPr>
                <w:bCs/>
                <w:color w:val="auto"/>
                <w:sz w:val="16"/>
                <w:szCs w:val="16"/>
              </w:rPr>
              <w:t xml:space="preserve">and record keepers </w:t>
            </w:r>
            <w:r w:rsidRPr="00F74D24">
              <w:rPr>
                <w:bCs/>
                <w:color w:val="auto"/>
                <w:sz w:val="16"/>
                <w:szCs w:val="16"/>
              </w:rPr>
              <w:t>on terms that the Board has not found to be reasonable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E77" w14:textId="77777777" w:rsidR="007B671C" w:rsidRPr="00F74D2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2. Board has not determined payments by funds and advisor are not distribution payments required to be paid under Rule 12b-1 and are reasonable in nature.</w:t>
            </w:r>
          </w:p>
          <w:p w14:paraId="0700EE78" w14:textId="77777777" w:rsidR="007B671C" w:rsidRPr="00F74D2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  <w:r w:rsidRPr="00F74D24">
              <w:rPr>
                <w:bCs/>
                <w:color w:val="auto"/>
                <w:sz w:val="16"/>
                <w:szCs w:val="16"/>
              </w:rPr>
              <w:t>. Disclosure is not provided to investors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79" w14:textId="77777777" w:rsidR="007B671C" w:rsidRPr="00F74D24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7A" w14:textId="77777777" w:rsidR="007B671C" w:rsidRPr="00F74D2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7B" w14:textId="77777777" w:rsidR="007B671C" w:rsidRPr="00F74D2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7C" w14:textId="77777777" w:rsidR="007B671C" w:rsidRPr="00F74D2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7D" w14:textId="77777777" w:rsidR="007B671C" w:rsidRPr="00F74D2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7E" w14:textId="77777777" w:rsidR="007B671C" w:rsidRPr="00F74D2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7F" w14:textId="77777777" w:rsidR="007B671C" w:rsidRPr="00F74D2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0D4DAB" w14:paraId="0700EE8E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81" w14:textId="77777777" w:rsidR="007B671C" w:rsidRPr="000D4DAB" w:rsidRDefault="007B671C" w:rsidP="007B671C">
            <w:pPr>
              <w:pStyle w:val="Default"/>
              <w:jc w:val="center"/>
              <w:rPr>
                <w:sz w:val="16"/>
                <w:szCs w:val="16"/>
              </w:rPr>
            </w:pPr>
            <w:r w:rsidRPr="000D4DAB">
              <w:rPr>
                <w:sz w:val="16"/>
                <w:szCs w:val="16"/>
              </w:rPr>
              <w:t>28</w:t>
            </w:r>
          </w:p>
        </w:tc>
        <w:tc>
          <w:tcPr>
            <w:tcW w:w="1348" w:type="dxa"/>
            <w:gridSpan w:val="2"/>
          </w:tcPr>
          <w:p w14:paraId="0700EE82" w14:textId="77777777" w:rsidR="007B671C" w:rsidRPr="000D4DA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Gifts and</w:t>
            </w:r>
            <w:r w:rsidRPr="000D4DAB">
              <w:rPr>
                <w:sz w:val="16"/>
                <w:szCs w:val="16"/>
              </w:rPr>
              <w:t xml:space="preserve"> Gratuities</w:t>
            </w:r>
          </w:p>
        </w:tc>
        <w:tc>
          <w:tcPr>
            <w:tcW w:w="1576" w:type="dxa"/>
            <w:gridSpan w:val="2"/>
          </w:tcPr>
          <w:p w14:paraId="0700EE83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FINRA rules</w:t>
            </w:r>
          </w:p>
          <w:p w14:paraId="0700EE84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ERISA Form LM-10</w:t>
            </w:r>
          </w:p>
          <w:p w14:paraId="0700EE85" w14:textId="77777777" w:rsidR="007B671C" w:rsidRPr="000D4DA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13991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65" w:type="dxa"/>
            <w:gridSpan w:val="2"/>
          </w:tcPr>
          <w:p w14:paraId="0700EE86" w14:textId="77777777" w:rsidR="007B671C" w:rsidRPr="000D4DAB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 and e</w:t>
            </w:r>
            <w:r w:rsidRPr="000D4DAB">
              <w:rPr>
                <w:sz w:val="16"/>
                <w:szCs w:val="16"/>
              </w:rPr>
              <w:t>mploye</w:t>
            </w:r>
            <w:r>
              <w:rPr>
                <w:sz w:val="16"/>
                <w:szCs w:val="16"/>
              </w:rPr>
              <w:t xml:space="preserve">es exceed limits on gift giving and </w:t>
            </w:r>
            <w:r w:rsidRPr="000D4DAB">
              <w:rPr>
                <w:sz w:val="16"/>
                <w:szCs w:val="16"/>
              </w:rPr>
              <w:t>receiving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87" w14:textId="77777777" w:rsidR="007B671C" w:rsidRPr="000D4DAB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88" w14:textId="77777777" w:rsidR="007B671C" w:rsidRPr="000D4DAB" w:rsidRDefault="007B671C" w:rsidP="007B67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89" w14:textId="77777777" w:rsidR="007B671C" w:rsidRPr="000D4DAB" w:rsidRDefault="007B671C" w:rsidP="007B67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8A" w14:textId="77777777" w:rsidR="007B671C" w:rsidRPr="000D4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8B" w14:textId="77777777" w:rsidR="007B671C" w:rsidRPr="000D4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8C" w14:textId="77777777" w:rsidR="007B671C" w:rsidRPr="000D4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8D" w14:textId="77777777" w:rsidR="007B671C" w:rsidRPr="000D4DAB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7648E8" w14:paraId="0700EE9B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8F" w14:textId="77777777" w:rsidR="007B671C" w:rsidRPr="007648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1348" w:type="dxa"/>
            <w:gridSpan w:val="2"/>
          </w:tcPr>
          <w:p w14:paraId="0700EE90" w14:textId="77777777" w:rsidR="007B671C" w:rsidRPr="007648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7648E8">
              <w:rPr>
                <w:bCs/>
                <w:color w:val="auto"/>
                <w:sz w:val="16"/>
                <w:szCs w:val="16"/>
              </w:rPr>
              <w:t>Identification of Affiliates</w:t>
            </w:r>
          </w:p>
        </w:tc>
        <w:tc>
          <w:tcPr>
            <w:tcW w:w="1576" w:type="dxa"/>
            <w:gridSpan w:val="2"/>
          </w:tcPr>
          <w:p w14:paraId="0700EE91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Sections </w:t>
            </w:r>
            <w:r w:rsidRPr="007648E8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0(f), 17(a), 17(e)</w:t>
            </w:r>
            <w:r w:rsidRPr="007648E8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7648E8">
              <w:rPr>
                <w:color w:val="auto"/>
                <w:sz w:val="16"/>
                <w:szCs w:val="16"/>
              </w:rPr>
              <w:t>12</w:t>
            </w:r>
            <w:r>
              <w:rPr>
                <w:color w:val="auto"/>
                <w:sz w:val="16"/>
                <w:szCs w:val="16"/>
              </w:rPr>
              <w:t>(d)</w:t>
            </w:r>
            <w:r w:rsidRPr="007648E8">
              <w:rPr>
                <w:color w:val="auto"/>
                <w:sz w:val="16"/>
                <w:szCs w:val="16"/>
              </w:rPr>
              <w:t xml:space="preserve"> of th</w:t>
            </w:r>
            <w:r>
              <w:rPr>
                <w:color w:val="auto"/>
                <w:sz w:val="16"/>
                <w:szCs w:val="16"/>
              </w:rPr>
              <w:t>e ICA.</w:t>
            </w:r>
          </w:p>
          <w:p w14:paraId="0700EE92" w14:textId="77777777" w:rsidR="007B671C" w:rsidRPr="007648E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7648E8">
              <w:rPr>
                <w:color w:val="auto"/>
                <w:sz w:val="16"/>
                <w:szCs w:val="16"/>
              </w:rPr>
              <w:t>Rule 38a-1 Procedures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E93" w14:textId="77777777" w:rsidR="007B671C" w:rsidRPr="007648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7648E8">
              <w:rPr>
                <w:bCs/>
                <w:color w:val="auto"/>
                <w:sz w:val="16"/>
                <w:szCs w:val="16"/>
              </w:rPr>
              <w:t>Failure to follow procedures to identify affiliates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94" w14:textId="77777777" w:rsidR="007B671C" w:rsidRPr="007648E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95" w14:textId="77777777" w:rsidR="007B671C" w:rsidRPr="007648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96" w14:textId="77777777" w:rsidR="007B671C" w:rsidRPr="007648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97" w14:textId="77777777" w:rsidR="007B671C" w:rsidRPr="007648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98" w14:textId="77777777" w:rsidR="007B671C" w:rsidRPr="007648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99" w14:textId="77777777" w:rsidR="007B671C" w:rsidRPr="007648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9A" w14:textId="77777777" w:rsidR="007B671C" w:rsidRPr="007648E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5A2B6F" w14:paraId="0700EEA9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9C" w14:textId="77777777" w:rsidR="007B671C" w:rsidRPr="005A2B6F" w:rsidRDefault="007B671C" w:rsidP="007B671C">
            <w:pPr>
              <w:jc w:val="center"/>
              <w:rPr>
                <w:sz w:val="16"/>
                <w:szCs w:val="16"/>
              </w:rPr>
            </w:pPr>
            <w:r w:rsidRPr="005A2B6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48" w:type="dxa"/>
            <w:gridSpan w:val="2"/>
          </w:tcPr>
          <w:p w14:paraId="0700EE9D" w14:textId="77777777" w:rsidR="007B671C" w:rsidRPr="005A2B6F" w:rsidRDefault="007B671C" w:rsidP="007B671C">
            <w:pPr>
              <w:spacing w:after="60"/>
              <w:rPr>
                <w:sz w:val="16"/>
                <w:szCs w:val="16"/>
              </w:rPr>
            </w:pPr>
            <w:r w:rsidRPr="005A2B6F">
              <w:rPr>
                <w:sz w:val="16"/>
                <w:szCs w:val="16"/>
              </w:rPr>
              <w:t>Insider Trading on Confidential Material Non-Public Information</w:t>
            </w:r>
          </w:p>
          <w:p w14:paraId="0700EE9E" w14:textId="77777777" w:rsidR="007B671C" w:rsidRPr="005A2B6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E9F" w14:textId="77777777" w:rsidR="007B671C" w:rsidRPr="005A2B6F" w:rsidRDefault="006F75C4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hyperlink r:id="rId8" w:tgtFrame="_top" w:history="1">
              <w:r w:rsidR="007B671C" w:rsidRPr="005A2B6F">
                <w:rPr>
                  <w:color w:val="auto"/>
                  <w:sz w:val="16"/>
                  <w:szCs w:val="16"/>
                </w:rPr>
                <w:t>Section 204A</w:t>
              </w:r>
            </w:hyperlink>
            <w:bookmarkStart w:id="5" w:name="P49_13389"/>
            <w:bookmarkEnd w:id="5"/>
            <w:r w:rsidR="007B671C" w:rsidRPr="005A2B6F">
              <w:rPr>
                <w:color w:val="auto"/>
                <w:sz w:val="16"/>
                <w:szCs w:val="16"/>
              </w:rPr>
              <w:t xml:space="preserve"> of the AA</w:t>
            </w:r>
          </w:p>
          <w:p w14:paraId="0700EEA0" w14:textId="77777777" w:rsidR="007B671C" w:rsidRPr="005A2B6F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10b5-1 of 34 Act</w:t>
            </w:r>
          </w:p>
        </w:tc>
        <w:tc>
          <w:tcPr>
            <w:tcW w:w="2865" w:type="dxa"/>
            <w:gridSpan w:val="2"/>
          </w:tcPr>
          <w:p w14:paraId="0700EEA1" w14:textId="77777777" w:rsidR="007B671C" w:rsidRPr="005A2B6F" w:rsidRDefault="007B671C" w:rsidP="007B671C">
            <w:pPr>
              <w:spacing w:after="60"/>
              <w:rPr>
                <w:sz w:val="16"/>
                <w:szCs w:val="16"/>
              </w:rPr>
            </w:pPr>
            <w:r w:rsidRPr="005A2B6F">
              <w:rPr>
                <w:sz w:val="16"/>
                <w:szCs w:val="16"/>
              </w:rPr>
              <w:t>Failure to adopt policies and procedures designed to prevent and det</w:t>
            </w:r>
            <w:r>
              <w:rPr>
                <w:sz w:val="16"/>
                <w:szCs w:val="16"/>
              </w:rPr>
              <w:t>ect employees’ (and</w:t>
            </w:r>
            <w:r w:rsidRPr="005A2B6F">
              <w:rPr>
                <w:sz w:val="16"/>
                <w:szCs w:val="16"/>
              </w:rPr>
              <w:t xml:space="preserve"> immediate family members’) insider trading activity or to provide training to employees, and/or permitting the trading on behalf of clients or the firm when in possession of material non-public information  or preventing employees from passing along insider information to others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A2" w14:textId="77777777" w:rsidR="007B671C" w:rsidRPr="005A2B6F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A3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A4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A5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A6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A7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A8" w14:textId="77777777" w:rsidR="007B671C" w:rsidRPr="005A2B6F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5A2B6F" w14:paraId="0700EEB9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AA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5A2B6F">
              <w:rPr>
                <w:bCs/>
                <w:color w:val="auto"/>
                <w:sz w:val="16"/>
                <w:szCs w:val="16"/>
              </w:rPr>
              <w:t>3</w:t>
            </w: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2"/>
          </w:tcPr>
          <w:p w14:paraId="0700EEAB" w14:textId="77777777" w:rsidR="007B671C" w:rsidRPr="005A2B6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A2B6F">
              <w:rPr>
                <w:bCs/>
                <w:color w:val="auto"/>
                <w:sz w:val="16"/>
                <w:szCs w:val="16"/>
              </w:rPr>
              <w:t xml:space="preserve">iShares </w:t>
            </w:r>
          </w:p>
        </w:tc>
        <w:tc>
          <w:tcPr>
            <w:tcW w:w="1576" w:type="dxa"/>
            <w:gridSpan w:val="2"/>
          </w:tcPr>
          <w:p w14:paraId="0700EEAC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5A2B6F">
              <w:rPr>
                <w:color w:val="auto"/>
                <w:sz w:val="16"/>
                <w:szCs w:val="16"/>
              </w:rPr>
              <w:t xml:space="preserve">Section 12(d)(1) </w:t>
            </w:r>
            <w:r>
              <w:rPr>
                <w:color w:val="auto"/>
                <w:sz w:val="16"/>
                <w:szCs w:val="16"/>
              </w:rPr>
              <w:t>of the ICA</w:t>
            </w:r>
          </w:p>
          <w:p w14:paraId="0700EEAD" w14:textId="77777777" w:rsidR="007B671C" w:rsidRPr="005A2B6F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5A2B6F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EEAE" w14:textId="77777777" w:rsidR="007B671C" w:rsidRPr="005A2B6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A2B6F">
              <w:rPr>
                <w:bCs/>
                <w:color w:val="auto"/>
                <w:sz w:val="16"/>
                <w:szCs w:val="16"/>
              </w:rPr>
              <w:t>1.</w:t>
            </w:r>
            <w:r>
              <w:rPr>
                <w:bCs/>
                <w:color w:val="auto"/>
                <w:sz w:val="16"/>
                <w:szCs w:val="16"/>
              </w:rPr>
              <w:t xml:space="preserve"> Permit the Funds to invest in iS</w:t>
            </w:r>
            <w:r w:rsidRPr="005A2B6F">
              <w:rPr>
                <w:bCs/>
                <w:color w:val="auto"/>
                <w:sz w:val="16"/>
                <w:szCs w:val="16"/>
              </w:rPr>
              <w:t xml:space="preserve">hares w/out waiving fees equal to any comp received </w:t>
            </w:r>
          </w:p>
          <w:p w14:paraId="0700EEAF" w14:textId="77777777" w:rsidR="007B671C" w:rsidRPr="005A2B6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A2B6F">
              <w:rPr>
                <w:bCs/>
                <w:color w:val="auto"/>
                <w:sz w:val="16"/>
                <w:szCs w:val="16"/>
              </w:rPr>
              <w:t>2. Fail to monitor to prevent gaining contr</w:t>
            </w:r>
            <w:r>
              <w:rPr>
                <w:bCs/>
                <w:color w:val="auto"/>
                <w:sz w:val="16"/>
                <w:szCs w:val="16"/>
              </w:rPr>
              <w:t>ol of iS</w:t>
            </w:r>
            <w:r w:rsidRPr="005A2B6F">
              <w:rPr>
                <w:bCs/>
                <w:color w:val="auto"/>
                <w:sz w:val="16"/>
                <w:szCs w:val="16"/>
              </w:rPr>
              <w:t>hares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EB0" w14:textId="77777777" w:rsidR="007B671C" w:rsidRPr="005A2B6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A2B6F">
              <w:rPr>
                <w:bCs/>
                <w:color w:val="auto"/>
                <w:sz w:val="16"/>
                <w:szCs w:val="16"/>
              </w:rPr>
              <w:t>3. Prevent taking into consideration factors that ma</w:t>
            </w:r>
            <w:r>
              <w:rPr>
                <w:bCs/>
                <w:color w:val="auto"/>
                <w:sz w:val="16"/>
                <w:szCs w:val="16"/>
              </w:rPr>
              <w:t>y influence investing in iShares.</w:t>
            </w:r>
          </w:p>
          <w:p w14:paraId="0700EEB1" w14:textId="77777777" w:rsidR="007B671C" w:rsidRPr="005A2B6F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5A2B6F">
              <w:rPr>
                <w:bCs/>
                <w:color w:val="auto"/>
                <w:sz w:val="16"/>
                <w:szCs w:val="16"/>
              </w:rPr>
              <w:t>4. Failure to prevent funds from exceeding 3% threshold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B2" w14:textId="77777777" w:rsidR="007B671C" w:rsidRPr="005A2B6F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B3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B4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B5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B6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B7" w14:textId="77777777" w:rsidR="007B671C" w:rsidRPr="005A2B6F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B8" w14:textId="77777777" w:rsidR="007B671C" w:rsidRPr="005A2B6F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F51079" w14:paraId="0700EEC7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BA" w14:textId="77777777" w:rsidR="007B671C" w:rsidRPr="00F510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51079">
              <w:rPr>
                <w:bCs/>
                <w:color w:val="auto"/>
                <w:sz w:val="16"/>
                <w:szCs w:val="16"/>
              </w:rPr>
              <w:lastRenderedPageBreak/>
              <w:t>3</w:t>
            </w: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</w:tcPr>
          <w:p w14:paraId="0700EEBB" w14:textId="77777777" w:rsidR="007B671C" w:rsidRPr="00F510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1079">
              <w:rPr>
                <w:bCs/>
                <w:color w:val="auto"/>
                <w:sz w:val="16"/>
                <w:szCs w:val="16"/>
              </w:rPr>
              <w:t>Late-Day Trading (After market close)</w:t>
            </w:r>
          </w:p>
        </w:tc>
        <w:tc>
          <w:tcPr>
            <w:tcW w:w="1576" w:type="dxa"/>
            <w:gridSpan w:val="2"/>
          </w:tcPr>
          <w:p w14:paraId="0700EEBC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Prospectus disclosure</w:t>
            </w:r>
          </w:p>
          <w:p w14:paraId="0700EEBD" w14:textId="77777777" w:rsidR="007B671C" w:rsidRPr="00F51079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F51079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EEBE" w14:textId="77777777" w:rsidR="007B671C" w:rsidRPr="00F510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1079">
              <w:rPr>
                <w:bCs/>
                <w:color w:val="auto"/>
                <w:sz w:val="16"/>
                <w:szCs w:val="16"/>
              </w:rPr>
              <w:t>1. Failure to adopt policies and procedures in order to prevent and/or detect late-day trades of the Funds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EBF" w14:textId="77777777" w:rsidR="007B671C" w:rsidRPr="00F5107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F51079">
              <w:rPr>
                <w:bCs/>
                <w:color w:val="auto"/>
                <w:sz w:val="16"/>
                <w:szCs w:val="16"/>
              </w:rPr>
              <w:t>2. Failure to prevent late-day trading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C0" w14:textId="77777777" w:rsidR="007B671C" w:rsidRPr="00F5107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C1" w14:textId="77777777" w:rsidR="007B671C" w:rsidRPr="00F510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C2" w14:textId="77777777" w:rsidR="007B671C" w:rsidRPr="00F510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C3" w14:textId="77777777" w:rsidR="007B671C" w:rsidRPr="00F510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C4" w14:textId="77777777" w:rsidR="007B671C" w:rsidRPr="00F510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C5" w14:textId="77777777" w:rsidR="007B671C" w:rsidRPr="00F5107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C6" w14:textId="77777777" w:rsidR="007B671C" w:rsidRPr="00F5107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ED6FF8" w14:paraId="0700EEDB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C8" w14:textId="77777777" w:rsidR="007B671C" w:rsidRPr="00ED6FF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D6FF8">
              <w:rPr>
                <w:bCs/>
                <w:color w:val="auto"/>
                <w:sz w:val="16"/>
                <w:szCs w:val="16"/>
              </w:rPr>
              <w:t>3</w:t>
            </w: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348" w:type="dxa"/>
            <w:gridSpan w:val="2"/>
          </w:tcPr>
          <w:p w14:paraId="0700EEC9" w14:textId="77777777" w:rsidR="007B671C" w:rsidRPr="00ED6FF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Licensing, Registration and </w:t>
            </w:r>
            <w:r w:rsidRPr="00ED6FF8">
              <w:rPr>
                <w:bCs/>
                <w:color w:val="auto"/>
                <w:sz w:val="16"/>
                <w:szCs w:val="16"/>
              </w:rPr>
              <w:t>Notice Filings</w:t>
            </w:r>
          </w:p>
        </w:tc>
        <w:tc>
          <w:tcPr>
            <w:tcW w:w="1576" w:type="dxa"/>
            <w:gridSpan w:val="2"/>
          </w:tcPr>
          <w:p w14:paraId="0700EECA" w14:textId="77777777" w:rsidR="007B671C" w:rsidRPr="00ED6FF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D6FF8">
              <w:rPr>
                <w:color w:val="auto"/>
                <w:sz w:val="16"/>
                <w:szCs w:val="16"/>
              </w:rPr>
              <w:t>SEC</w:t>
            </w:r>
          </w:p>
          <w:p w14:paraId="0700EECB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D6FF8">
              <w:rPr>
                <w:color w:val="auto"/>
                <w:sz w:val="16"/>
                <w:szCs w:val="16"/>
              </w:rPr>
              <w:t>FINRA</w:t>
            </w:r>
          </w:p>
          <w:p w14:paraId="0700EECC" w14:textId="77777777" w:rsidR="007B671C" w:rsidRPr="00ED6FF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CFTC/NFA</w:t>
            </w:r>
          </w:p>
          <w:p w14:paraId="0700EECD" w14:textId="77777777" w:rsidR="007B671C" w:rsidRPr="00ED6FF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D6FF8">
              <w:rPr>
                <w:color w:val="auto"/>
                <w:sz w:val="16"/>
                <w:szCs w:val="16"/>
              </w:rPr>
              <w:t>State Laws &amp; Rules</w:t>
            </w:r>
          </w:p>
          <w:p w14:paraId="0700EECE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Foreign Jurisdictions</w:t>
            </w:r>
          </w:p>
          <w:p w14:paraId="0700EECF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Procedures</w:t>
            </w:r>
          </w:p>
          <w:p w14:paraId="0700EED0" w14:textId="77777777" w:rsidR="007B671C" w:rsidRPr="00ED6FF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EED1" w14:textId="77777777" w:rsidR="007B671C" w:rsidRPr="00ED6FF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D6FF8">
              <w:rPr>
                <w:bCs/>
                <w:color w:val="auto"/>
                <w:sz w:val="16"/>
                <w:szCs w:val="16"/>
              </w:rPr>
              <w:t>1. Failure to maintain SEC Registration</w:t>
            </w:r>
            <w:r>
              <w:rPr>
                <w:bCs/>
                <w:color w:val="auto"/>
                <w:sz w:val="16"/>
                <w:szCs w:val="16"/>
              </w:rPr>
              <w:t>s</w:t>
            </w:r>
          </w:p>
          <w:p w14:paraId="0700EED2" w14:textId="77777777" w:rsidR="007B671C" w:rsidRPr="00ED6FF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D6FF8">
              <w:rPr>
                <w:bCs/>
                <w:color w:val="auto"/>
                <w:sz w:val="16"/>
                <w:szCs w:val="16"/>
              </w:rPr>
              <w:t xml:space="preserve">2. Failure to register IA reps or BD Reps </w:t>
            </w:r>
            <w:r>
              <w:rPr>
                <w:bCs/>
                <w:color w:val="auto"/>
                <w:sz w:val="16"/>
                <w:szCs w:val="16"/>
              </w:rPr>
              <w:t>as and where required.</w:t>
            </w:r>
          </w:p>
          <w:p w14:paraId="0700EED3" w14:textId="77777777" w:rsidR="007B671C" w:rsidRPr="00ED6FF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D6FF8">
              <w:rPr>
                <w:bCs/>
                <w:color w:val="auto"/>
                <w:sz w:val="16"/>
                <w:szCs w:val="16"/>
              </w:rPr>
              <w:t xml:space="preserve">3. Failure </w:t>
            </w:r>
            <w:r>
              <w:rPr>
                <w:bCs/>
                <w:color w:val="auto"/>
                <w:sz w:val="16"/>
                <w:szCs w:val="16"/>
              </w:rPr>
              <w:t>to make notice filings for the F</w:t>
            </w:r>
            <w:r w:rsidRPr="00ED6FF8">
              <w:rPr>
                <w:bCs/>
                <w:color w:val="auto"/>
                <w:sz w:val="16"/>
                <w:szCs w:val="16"/>
              </w:rPr>
              <w:t>unds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D4" w14:textId="77777777" w:rsidR="007B671C" w:rsidRPr="00ED6FF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D5" w14:textId="77777777" w:rsidR="007B671C" w:rsidRPr="00ED6FF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D6" w14:textId="77777777" w:rsidR="007B671C" w:rsidRPr="00ED6FF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D7" w14:textId="77777777" w:rsidR="007B671C" w:rsidRPr="00ED6FF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D8" w14:textId="77777777" w:rsidR="007B671C" w:rsidRPr="00ED6FF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D9" w14:textId="77777777" w:rsidR="007B671C" w:rsidRPr="00ED6FF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DA" w14:textId="77777777" w:rsidR="007B671C" w:rsidRPr="00ED6FF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E30CA0" w14:paraId="0700EEEB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DC" w14:textId="77777777" w:rsidR="007B671C" w:rsidRPr="00E30CA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30CA0">
              <w:rPr>
                <w:bCs/>
                <w:color w:val="auto"/>
                <w:sz w:val="16"/>
                <w:szCs w:val="16"/>
              </w:rPr>
              <w:t>3</w:t>
            </w: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</w:tcPr>
          <w:p w14:paraId="0700EEDD" w14:textId="77777777" w:rsidR="007B671C" w:rsidRPr="00E30CA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Market Timing and</w:t>
            </w:r>
            <w:r w:rsidRPr="00E30CA0">
              <w:rPr>
                <w:bCs/>
                <w:color w:val="auto"/>
                <w:sz w:val="16"/>
                <w:szCs w:val="16"/>
              </w:rPr>
              <w:t xml:space="preserve"> Excessive Trading</w:t>
            </w:r>
          </w:p>
        </w:tc>
        <w:tc>
          <w:tcPr>
            <w:tcW w:w="1576" w:type="dxa"/>
            <w:gridSpan w:val="2"/>
          </w:tcPr>
          <w:p w14:paraId="0700EEDE" w14:textId="77777777" w:rsidR="007B671C" w:rsidRPr="00E30CA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30CA0">
              <w:rPr>
                <w:color w:val="auto"/>
                <w:sz w:val="16"/>
                <w:szCs w:val="16"/>
              </w:rPr>
              <w:t>Rule 22c-2 of ICA</w:t>
            </w:r>
          </w:p>
          <w:p w14:paraId="0700EEDF" w14:textId="77777777" w:rsidR="007B671C" w:rsidRPr="00E30CA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30CA0">
              <w:rPr>
                <w:color w:val="auto"/>
                <w:sz w:val="16"/>
                <w:szCs w:val="16"/>
              </w:rPr>
              <w:t>Rule 38a-1 Procedures</w:t>
            </w:r>
          </w:p>
          <w:p w14:paraId="0700EEE0" w14:textId="77777777" w:rsidR="007B671C" w:rsidRPr="00E30CA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30CA0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65" w:type="dxa"/>
            <w:gridSpan w:val="2"/>
          </w:tcPr>
          <w:p w14:paraId="0700EEE1" w14:textId="77777777" w:rsidR="007B671C" w:rsidRPr="00E30CA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30CA0">
              <w:rPr>
                <w:bCs/>
                <w:color w:val="auto"/>
                <w:sz w:val="16"/>
                <w:szCs w:val="16"/>
              </w:rPr>
              <w:t>1. Failure to adopt policies and procedures in order to prevent and/or detect market timing/excessive trading of the Funds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EE2" w14:textId="77777777" w:rsidR="007B671C" w:rsidRPr="00E30CA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30CA0">
              <w:rPr>
                <w:bCs/>
                <w:color w:val="auto"/>
                <w:sz w:val="16"/>
                <w:szCs w:val="16"/>
              </w:rPr>
              <w:t>2. Failure to detect omnibus accounts from abusive fund trading activities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EE3" w14:textId="77777777" w:rsidR="007B671C" w:rsidRPr="00E30CA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30CA0">
              <w:rPr>
                <w:bCs/>
                <w:color w:val="auto"/>
                <w:sz w:val="16"/>
                <w:szCs w:val="16"/>
              </w:rPr>
              <w:t>3. Failure to enforce procedures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E4" w14:textId="77777777" w:rsidR="007B671C" w:rsidRPr="00E30CA0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E5" w14:textId="77777777" w:rsidR="007B671C" w:rsidRPr="00E30CA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E6" w14:textId="77777777" w:rsidR="007B671C" w:rsidRPr="00E30CA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E7" w14:textId="77777777" w:rsidR="007B671C" w:rsidRPr="00E30CA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E8" w14:textId="77777777" w:rsidR="007B671C" w:rsidRPr="00E30CA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E9" w14:textId="77777777" w:rsidR="007B671C" w:rsidRPr="00E30CA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EA" w14:textId="77777777" w:rsidR="007B671C" w:rsidRPr="00E30CA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E49D5" w14:paraId="0700EEF7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EC" w14:textId="77777777" w:rsidR="007B671C" w:rsidRPr="001E49D5" w:rsidRDefault="007B671C" w:rsidP="007B671C">
            <w:pPr>
              <w:jc w:val="center"/>
              <w:rPr>
                <w:sz w:val="16"/>
                <w:szCs w:val="16"/>
              </w:rPr>
            </w:pPr>
            <w:r w:rsidRPr="001E49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</w:tcPr>
          <w:p w14:paraId="0700EEED" w14:textId="77777777" w:rsidR="007B671C" w:rsidRPr="001E49D5" w:rsidRDefault="007B671C" w:rsidP="007B671C">
            <w:pPr>
              <w:spacing w:after="60"/>
              <w:rPr>
                <w:sz w:val="16"/>
                <w:szCs w:val="16"/>
              </w:rPr>
            </w:pPr>
            <w:r w:rsidRPr="001E49D5">
              <w:rPr>
                <w:sz w:val="16"/>
                <w:szCs w:val="16"/>
              </w:rPr>
              <w:t xml:space="preserve">Media Contacts </w:t>
            </w:r>
          </w:p>
        </w:tc>
        <w:tc>
          <w:tcPr>
            <w:tcW w:w="1576" w:type="dxa"/>
            <w:gridSpan w:val="2"/>
          </w:tcPr>
          <w:p w14:paraId="0700EEEE" w14:textId="77777777" w:rsidR="007B671C" w:rsidRPr="001E49D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E49D5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65" w:type="dxa"/>
            <w:gridSpan w:val="2"/>
          </w:tcPr>
          <w:p w14:paraId="0700EEEF" w14:textId="77777777" w:rsidR="007B671C" w:rsidRPr="001E49D5" w:rsidRDefault="007B671C" w:rsidP="007B671C">
            <w:pPr>
              <w:spacing w:after="60"/>
              <w:rPr>
                <w:sz w:val="16"/>
                <w:szCs w:val="16"/>
              </w:rPr>
            </w:pPr>
            <w:r w:rsidRPr="001E49D5">
              <w:rPr>
                <w:sz w:val="16"/>
                <w:szCs w:val="16"/>
              </w:rPr>
              <w:t>Unauthorized employees may make contacts with or make false or misleading statements to the media regarding business activity or other matters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F0" w14:textId="77777777" w:rsidR="007B671C" w:rsidRPr="001E49D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F1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F2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F3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EF4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EF5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EF6" w14:textId="77777777" w:rsidR="007B671C" w:rsidRPr="001E49D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E49D5" w14:paraId="0700EF03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EF8" w14:textId="77777777" w:rsidR="007B671C" w:rsidRPr="001E49D5" w:rsidRDefault="007B671C" w:rsidP="007B671C">
            <w:pPr>
              <w:jc w:val="center"/>
              <w:rPr>
                <w:bCs/>
                <w:sz w:val="16"/>
                <w:szCs w:val="16"/>
              </w:rPr>
            </w:pPr>
            <w:r w:rsidRPr="001E49D5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48" w:type="dxa"/>
            <w:gridSpan w:val="2"/>
          </w:tcPr>
          <w:p w14:paraId="0700EEF9" w14:textId="77777777" w:rsidR="007B671C" w:rsidRPr="001E49D5" w:rsidRDefault="007B671C" w:rsidP="007B671C">
            <w:pPr>
              <w:spacing w:after="60"/>
              <w:rPr>
                <w:bCs/>
                <w:sz w:val="16"/>
                <w:szCs w:val="16"/>
              </w:rPr>
            </w:pPr>
            <w:r w:rsidRPr="001E49D5">
              <w:rPr>
                <w:bCs/>
                <w:sz w:val="16"/>
                <w:szCs w:val="16"/>
              </w:rPr>
              <w:t>Outside Business Activities</w:t>
            </w:r>
          </w:p>
        </w:tc>
        <w:tc>
          <w:tcPr>
            <w:tcW w:w="1576" w:type="dxa"/>
            <w:gridSpan w:val="2"/>
          </w:tcPr>
          <w:p w14:paraId="0700EEFA" w14:textId="77777777" w:rsidR="007B671C" w:rsidRPr="001E49D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E49D5">
              <w:rPr>
                <w:bCs/>
                <w:color w:val="auto"/>
                <w:sz w:val="16"/>
                <w:szCs w:val="16"/>
              </w:rPr>
              <w:t>FINRA Rules</w:t>
            </w:r>
          </w:p>
        </w:tc>
        <w:tc>
          <w:tcPr>
            <w:tcW w:w="2865" w:type="dxa"/>
            <w:gridSpan w:val="2"/>
          </w:tcPr>
          <w:p w14:paraId="0700EEFB" w14:textId="77777777" w:rsidR="007B671C" w:rsidRPr="001E49D5" w:rsidRDefault="007B671C" w:rsidP="007B671C">
            <w:pPr>
              <w:spacing w:after="60"/>
              <w:rPr>
                <w:sz w:val="16"/>
                <w:szCs w:val="16"/>
              </w:rPr>
            </w:pPr>
            <w:r w:rsidRPr="001E49D5">
              <w:rPr>
                <w:sz w:val="16"/>
                <w:szCs w:val="16"/>
              </w:rPr>
              <w:t xml:space="preserve">Failure to receive approval </w:t>
            </w:r>
            <w:r>
              <w:rPr>
                <w:sz w:val="16"/>
                <w:szCs w:val="16"/>
              </w:rPr>
              <w:t xml:space="preserve">to engage in outside employment and </w:t>
            </w:r>
            <w:r w:rsidRPr="001E49D5">
              <w:rPr>
                <w:sz w:val="16"/>
                <w:szCs w:val="16"/>
              </w:rPr>
              <w:t>business activity by employees</w:t>
            </w:r>
            <w:r>
              <w:rPr>
                <w:sz w:val="16"/>
                <w:szCs w:val="16"/>
              </w:rPr>
              <w:t xml:space="preserve"> and </w:t>
            </w:r>
            <w:r w:rsidRPr="001E49D5">
              <w:rPr>
                <w:sz w:val="16"/>
                <w:szCs w:val="16"/>
              </w:rPr>
              <w:t>officers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EFC" w14:textId="77777777" w:rsidR="007B671C" w:rsidRPr="001E49D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EFD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EFE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EFF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00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01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02" w14:textId="77777777" w:rsidR="007B671C" w:rsidRPr="001E49D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E49D5" w14:paraId="0700EF11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04" w14:textId="77777777" w:rsidR="007B671C" w:rsidRPr="001E49D5" w:rsidRDefault="007B671C" w:rsidP="007B671C">
            <w:pPr>
              <w:jc w:val="center"/>
              <w:rPr>
                <w:sz w:val="16"/>
                <w:szCs w:val="16"/>
              </w:rPr>
            </w:pPr>
            <w:r w:rsidRPr="001E49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8" w:type="dxa"/>
            <w:gridSpan w:val="2"/>
          </w:tcPr>
          <w:p w14:paraId="0700EF05" w14:textId="77777777" w:rsidR="007B671C" w:rsidRPr="001E49D5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</w:t>
            </w:r>
            <w:r w:rsidRPr="001E49D5">
              <w:rPr>
                <w:sz w:val="16"/>
                <w:szCs w:val="16"/>
              </w:rPr>
              <w:t xml:space="preserve"> Contributions</w:t>
            </w:r>
          </w:p>
        </w:tc>
        <w:tc>
          <w:tcPr>
            <w:tcW w:w="1576" w:type="dxa"/>
            <w:gridSpan w:val="2"/>
          </w:tcPr>
          <w:p w14:paraId="0700EF06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206(4)-5 of AA</w:t>
            </w:r>
          </w:p>
          <w:p w14:paraId="0700EF07" w14:textId="77777777" w:rsidR="007B671C" w:rsidRPr="001E49D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E49D5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65" w:type="dxa"/>
            <w:gridSpan w:val="2"/>
          </w:tcPr>
          <w:p w14:paraId="0700EF08" w14:textId="77777777" w:rsidR="007B671C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Firm or employees may </w:t>
            </w:r>
            <w:r w:rsidRPr="001E49D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prohibited cash or in-kind</w:t>
            </w:r>
            <w:r w:rsidRPr="001E49D5">
              <w:rPr>
                <w:sz w:val="16"/>
                <w:szCs w:val="16"/>
              </w:rPr>
              <w:t xml:space="preserve"> political</w:t>
            </w:r>
            <w:r>
              <w:rPr>
                <w:sz w:val="16"/>
                <w:szCs w:val="16"/>
              </w:rPr>
              <w:t xml:space="preserve"> contributions to campaigns</w:t>
            </w:r>
            <w:r w:rsidRPr="001E49D5">
              <w:rPr>
                <w:sz w:val="16"/>
                <w:szCs w:val="16"/>
              </w:rPr>
              <w:t xml:space="preserve"> that may be prohibited </w:t>
            </w:r>
            <w:r>
              <w:rPr>
                <w:sz w:val="16"/>
                <w:szCs w:val="16"/>
              </w:rPr>
              <w:t>by pay-to-play rules, resulting in prohibition on collecting fees for 2 years.</w:t>
            </w:r>
          </w:p>
          <w:p w14:paraId="0700EF09" w14:textId="77777777" w:rsidR="007B671C" w:rsidRPr="001E49D5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New hires may have made prohibited political contributions before joining firm.</w:t>
            </w:r>
          </w:p>
        </w:tc>
        <w:tc>
          <w:tcPr>
            <w:tcW w:w="2015" w:type="dxa"/>
            <w:gridSpan w:val="2"/>
          </w:tcPr>
          <w:p w14:paraId="0700EF0A" w14:textId="77777777" w:rsidR="007B671C" w:rsidRPr="001E49D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0B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0C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0D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0E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0F" w14:textId="77777777" w:rsidR="007B671C" w:rsidRPr="001E49D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10" w14:textId="77777777" w:rsidR="007B671C" w:rsidRPr="001E49D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EF1E" w14:textId="77777777" w:rsidTr="00E7521A">
        <w:trPr>
          <w:cantSplit/>
          <w:trHeight w:val="777"/>
          <w:tblHeader/>
        </w:trPr>
        <w:tc>
          <w:tcPr>
            <w:tcW w:w="435" w:type="dxa"/>
          </w:tcPr>
          <w:p w14:paraId="0700EF12" w14:textId="77777777" w:rsidR="007B671C" w:rsidRPr="00E7521A" w:rsidRDefault="007B671C" w:rsidP="007B671C">
            <w:pPr>
              <w:spacing w:after="60"/>
              <w:jc w:val="center"/>
              <w:rPr>
                <w:sz w:val="16"/>
                <w:szCs w:val="16"/>
              </w:rPr>
            </w:pPr>
            <w:r w:rsidRPr="00E752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48" w:type="dxa"/>
            <w:gridSpan w:val="2"/>
          </w:tcPr>
          <w:p w14:paraId="0700EF13" w14:textId="77777777" w:rsidR="007B671C" w:rsidRPr="00E7521A" w:rsidRDefault="007B671C" w:rsidP="007B671C">
            <w:pPr>
              <w:spacing w:after="60"/>
              <w:rPr>
                <w:sz w:val="16"/>
                <w:szCs w:val="16"/>
              </w:rPr>
            </w:pPr>
            <w:r w:rsidRPr="00E7521A">
              <w:rPr>
                <w:sz w:val="16"/>
                <w:szCs w:val="16"/>
              </w:rPr>
              <w:t>Charitable Contributions</w:t>
            </w:r>
          </w:p>
        </w:tc>
        <w:tc>
          <w:tcPr>
            <w:tcW w:w="1576" w:type="dxa"/>
            <w:gridSpan w:val="2"/>
          </w:tcPr>
          <w:p w14:paraId="0700EF14" w14:textId="77777777" w:rsidR="007B671C" w:rsidRPr="00E7521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65" w:type="dxa"/>
            <w:gridSpan w:val="2"/>
          </w:tcPr>
          <w:p w14:paraId="0700EF15" w14:textId="77777777" w:rsidR="007B671C" w:rsidRPr="00E7521A" w:rsidRDefault="007B671C" w:rsidP="007B671C">
            <w:pPr>
              <w:spacing w:after="60"/>
              <w:rPr>
                <w:sz w:val="16"/>
                <w:szCs w:val="16"/>
              </w:rPr>
            </w:pPr>
            <w:r w:rsidRPr="00E7521A">
              <w:rPr>
                <w:sz w:val="16"/>
                <w:szCs w:val="16"/>
              </w:rPr>
              <w:t>Firm o</w:t>
            </w:r>
            <w:r>
              <w:rPr>
                <w:sz w:val="16"/>
                <w:szCs w:val="16"/>
              </w:rPr>
              <w:t xml:space="preserve">r employees may make </w:t>
            </w:r>
            <w:r w:rsidRPr="00E7521A">
              <w:rPr>
                <w:sz w:val="16"/>
                <w:szCs w:val="16"/>
              </w:rPr>
              <w:t>charitable contributions to persons that may be prohibited from accept</w:t>
            </w:r>
            <w:r>
              <w:rPr>
                <w:sz w:val="16"/>
                <w:szCs w:val="16"/>
              </w:rPr>
              <w:t>ing due to relationship w/Firm</w:t>
            </w:r>
            <w:r w:rsidRPr="00E7521A">
              <w:rPr>
                <w:sz w:val="16"/>
                <w:szCs w:val="16"/>
              </w:rPr>
              <w:t xml:space="preserve"> or </w:t>
            </w:r>
            <w:proofErr w:type="gramStart"/>
            <w:r w:rsidRPr="00E7521A">
              <w:rPr>
                <w:sz w:val="16"/>
                <w:szCs w:val="16"/>
              </w:rPr>
              <w:t>in an attempt to</w:t>
            </w:r>
            <w:proofErr w:type="gramEnd"/>
            <w:r w:rsidRPr="00E7521A">
              <w:rPr>
                <w:sz w:val="16"/>
                <w:szCs w:val="16"/>
              </w:rPr>
              <w:t xml:space="preserve"> influence outcome of investment manager selection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16" w14:textId="77777777" w:rsidR="007B671C" w:rsidRPr="00E7521A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17" w14:textId="77777777" w:rsidR="007B671C" w:rsidRPr="00E7521A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849" w:type="dxa"/>
            <w:gridSpan w:val="2"/>
          </w:tcPr>
          <w:p w14:paraId="0700EF18" w14:textId="77777777" w:rsidR="007B671C" w:rsidRPr="00E7521A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2"/>
          </w:tcPr>
          <w:p w14:paraId="0700EF19" w14:textId="77777777" w:rsidR="007B671C" w:rsidRPr="00E7521A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97" w:type="dxa"/>
            <w:gridSpan w:val="2"/>
          </w:tcPr>
          <w:p w14:paraId="0700EF1A" w14:textId="77777777" w:rsidR="007B671C" w:rsidRPr="00E7521A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14:paraId="0700EF1B" w14:textId="77777777" w:rsidR="007B671C" w:rsidRPr="00E7521A" w:rsidRDefault="007B671C" w:rsidP="007B671C">
            <w:pPr>
              <w:pStyle w:val="Default"/>
              <w:spacing w:after="60"/>
              <w:jc w:val="center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464" w:type="dxa"/>
          </w:tcPr>
          <w:p w14:paraId="0700EF1C" w14:textId="77777777" w:rsidR="007B671C" w:rsidRPr="00E7521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  <w:p w14:paraId="0700EF1D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7521A">
              <w:rPr>
                <w:bCs/>
                <w:color w:val="auto"/>
                <w:sz w:val="16"/>
                <w:szCs w:val="16"/>
              </w:rPr>
              <w:t xml:space="preserve">Review = 1 to </w:t>
            </w:r>
            <w:proofErr w:type="gramStart"/>
            <w:r w:rsidRPr="00E7521A">
              <w:rPr>
                <w:bCs/>
                <w:color w:val="auto"/>
                <w:sz w:val="16"/>
                <w:szCs w:val="16"/>
              </w:rPr>
              <w:t>2 year</w:t>
            </w:r>
            <w:proofErr w:type="gramEnd"/>
            <w:r w:rsidRPr="00E7521A">
              <w:rPr>
                <w:bCs/>
                <w:color w:val="auto"/>
                <w:sz w:val="16"/>
                <w:szCs w:val="16"/>
              </w:rPr>
              <w:t xml:space="preserve"> cycle</w:t>
            </w:r>
          </w:p>
        </w:tc>
      </w:tr>
      <w:tr w:rsidR="007B671C" w:rsidRPr="00D63285" w14:paraId="0700EF2B" w14:textId="77777777" w:rsidTr="00C90918">
        <w:trPr>
          <w:cantSplit/>
          <w:trHeight w:val="775"/>
          <w:tblHeader/>
        </w:trPr>
        <w:tc>
          <w:tcPr>
            <w:tcW w:w="435" w:type="dxa"/>
          </w:tcPr>
          <w:p w14:paraId="0700EF1F" w14:textId="77777777" w:rsidR="007B671C" w:rsidRPr="00D63285" w:rsidRDefault="007B671C" w:rsidP="007B671C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39</w:t>
            </w:r>
          </w:p>
        </w:tc>
        <w:tc>
          <w:tcPr>
            <w:tcW w:w="1348" w:type="dxa"/>
            <w:gridSpan w:val="2"/>
          </w:tcPr>
          <w:p w14:paraId="0700EF20" w14:textId="77777777" w:rsidR="007B671C" w:rsidRPr="00D63285" w:rsidRDefault="007B671C" w:rsidP="007B671C">
            <w:pPr>
              <w:pStyle w:val="Default"/>
              <w:spacing w:after="6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Prospectus and</w:t>
            </w:r>
            <w:r w:rsidRPr="00D63285">
              <w:rPr>
                <w:iCs/>
                <w:sz w:val="16"/>
                <w:szCs w:val="16"/>
              </w:rPr>
              <w:t xml:space="preserve"> SAI Disclosure</w:t>
            </w:r>
          </w:p>
        </w:tc>
        <w:tc>
          <w:tcPr>
            <w:tcW w:w="1576" w:type="dxa"/>
            <w:gridSpan w:val="2"/>
          </w:tcPr>
          <w:p w14:paraId="0700EF21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Form N-1A</w:t>
            </w:r>
          </w:p>
          <w:p w14:paraId="0700EF22" w14:textId="77777777" w:rsidR="007B671C" w:rsidRPr="00D63285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10b-5</w:t>
            </w:r>
          </w:p>
        </w:tc>
        <w:tc>
          <w:tcPr>
            <w:tcW w:w="2865" w:type="dxa"/>
            <w:gridSpan w:val="2"/>
          </w:tcPr>
          <w:p w14:paraId="0700EF23" w14:textId="77777777" w:rsidR="007B671C" w:rsidRPr="00D63285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D63285">
              <w:rPr>
                <w:sz w:val="16"/>
                <w:szCs w:val="16"/>
              </w:rPr>
              <w:t>Fai</w:t>
            </w:r>
            <w:r>
              <w:rPr>
                <w:sz w:val="16"/>
                <w:szCs w:val="16"/>
              </w:rPr>
              <w:t>lure to ensure that prospectus and</w:t>
            </w:r>
            <w:r w:rsidRPr="00D63285">
              <w:rPr>
                <w:sz w:val="16"/>
                <w:szCs w:val="16"/>
              </w:rPr>
              <w:t xml:space="preserve"> SAI contain c</w:t>
            </w:r>
            <w:r>
              <w:rPr>
                <w:sz w:val="16"/>
                <w:szCs w:val="16"/>
              </w:rPr>
              <w:t xml:space="preserve">urrent and accurate information </w:t>
            </w:r>
            <w:r w:rsidRPr="00D63285">
              <w:rPr>
                <w:sz w:val="16"/>
                <w:szCs w:val="16"/>
              </w:rPr>
              <w:t>disclosure</w:t>
            </w:r>
            <w:r>
              <w:rPr>
                <w:sz w:val="16"/>
                <w:szCs w:val="16"/>
              </w:rPr>
              <w:t>s and comply with all applicable SEC and FINRA disclosure requirements.</w:t>
            </w:r>
          </w:p>
        </w:tc>
        <w:tc>
          <w:tcPr>
            <w:tcW w:w="2015" w:type="dxa"/>
            <w:gridSpan w:val="2"/>
          </w:tcPr>
          <w:p w14:paraId="0700EF24" w14:textId="77777777" w:rsidR="007B671C" w:rsidRPr="00D6328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25" w14:textId="77777777" w:rsidR="007B671C" w:rsidRPr="00D63285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26" w14:textId="77777777" w:rsidR="007B671C" w:rsidRPr="00D63285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27" w14:textId="77777777" w:rsidR="007B671C" w:rsidRPr="00D6328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28" w14:textId="77777777" w:rsidR="007B671C" w:rsidRPr="00D6328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29" w14:textId="77777777" w:rsidR="007B671C" w:rsidRPr="00D6328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2A" w14:textId="77777777" w:rsidR="007B671C" w:rsidRPr="00D6328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AB2F54" w14:paraId="0700EF39" w14:textId="77777777" w:rsidTr="00C90918">
        <w:trPr>
          <w:cantSplit/>
          <w:trHeight w:val="775"/>
          <w:tblHeader/>
        </w:trPr>
        <w:tc>
          <w:tcPr>
            <w:tcW w:w="435" w:type="dxa"/>
          </w:tcPr>
          <w:p w14:paraId="0700EF2C" w14:textId="77777777" w:rsidR="007B671C" w:rsidRPr="00AB2F54" w:rsidRDefault="007B671C" w:rsidP="007B671C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AB2F54"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1348" w:type="dxa"/>
            <w:gridSpan w:val="2"/>
          </w:tcPr>
          <w:p w14:paraId="0700EF2D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B2F54">
              <w:rPr>
                <w:iCs/>
                <w:sz w:val="16"/>
                <w:szCs w:val="16"/>
              </w:rPr>
              <w:t xml:space="preserve">Portfolio Management </w:t>
            </w:r>
            <w:proofErr w:type="gramStart"/>
            <w:r w:rsidRPr="00AB2F54">
              <w:rPr>
                <w:iCs/>
                <w:sz w:val="16"/>
                <w:szCs w:val="16"/>
              </w:rPr>
              <w:t>-</w:t>
            </w:r>
            <w:r w:rsidRPr="00AB2F54">
              <w:rPr>
                <w:sz w:val="16"/>
                <w:szCs w:val="16"/>
              </w:rPr>
              <w:t xml:space="preserve"> </w:t>
            </w:r>
            <w:r w:rsidRPr="00AB2F54">
              <w:rPr>
                <w:iCs/>
                <w:sz w:val="16"/>
                <w:szCs w:val="16"/>
              </w:rPr>
              <w:t xml:space="preserve"> Trade</w:t>
            </w:r>
            <w:proofErr w:type="gramEnd"/>
            <w:r w:rsidRPr="00AB2F54">
              <w:rPr>
                <w:iCs/>
                <w:sz w:val="16"/>
                <w:szCs w:val="16"/>
              </w:rPr>
              <w:t xml:space="preserve"> Error Correction</w:t>
            </w:r>
          </w:p>
        </w:tc>
        <w:tc>
          <w:tcPr>
            <w:tcW w:w="1576" w:type="dxa"/>
            <w:gridSpan w:val="2"/>
          </w:tcPr>
          <w:p w14:paraId="0700EF2E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Rule 206(4)-7 Procedures</w:t>
            </w:r>
          </w:p>
          <w:p w14:paraId="0700EF2F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EF30" w14:textId="77777777" w:rsidR="007B671C" w:rsidRPr="00AB2F54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AB2F54">
              <w:rPr>
                <w:sz w:val="16"/>
                <w:szCs w:val="16"/>
              </w:rPr>
              <w:t xml:space="preserve">1. Failure to properly identify and correct trade </w:t>
            </w:r>
            <w:r>
              <w:rPr>
                <w:sz w:val="16"/>
                <w:szCs w:val="16"/>
              </w:rPr>
              <w:t xml:space="preserve">and NAV </w:t>
            </w:r>
            <w:r w:rsidRPr="00AB2F54">
              <w:rPr>
                <w:sz w:val="16"/>
                <w:szCs w:val="16"/>
              </w:rPr>
              <w:t>errors</w:t>
            </w:r>
            <w:r>
              <w:rPr>
                <w:sz w:val="16"/>
                <w:szCs w:val="16"/>
              </w:rPr>
              <w:t>.</w:t>
            </w:r>
          </w:p>
          <w:p w14:paraId="0700EF31" w14:textId="77777777" w:rsidR="007B671C" w:rsidRPr="00AB2F54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AB2F54">
              <w:rPr>
                <w:sz w:val="16"/>
                <w:szCs w:val="16"/>
              </w:rPr>
              <w:t>2. Failure to moni</w:t>
            </w:r>
            <w:r>
              <w:rPr>
                <w:sz w:val="16"/>
                <w:szCs w:val="16"/>
              </w:rPr>
              <w:t>tor trading activity to detect and</w:t>
            </w:r>
            <w:r w:rsidRPr="00AB2F54">
              <w:rPr>
                <w:sz w:val="16"/>
                <w:szCs w:val="16"/>
              </w:rPr>
              <w:t xml:space="preserve"> correct trade </w:t>
            </w:r>
            <w:r>
              <w:rPr>
                <w:sz w:val="16"/>
                <w:szCs w:val="16"/>
              </w:rPr>
              <w:t xml:space="preserve">and NAV </w:t>
            </w:r>
            <w:r w:rsidRPr="00AB2F54">
              <w:rPr>
                <w:sz w:val="16"/>
                <w:szCs w:val="16"/>
              </w:rPr>
              <w:t>errors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32" w14:textId="77777777" w:rsidR="007B671C" w:rsidRPr="00AB2F54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33" w14:textId="77777777" w:rsidR="007B671C" w:rsidRPr="00AB2F54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34" w14:textId="77777777" w:rsidR="007B671C" w:rsidRPr="00AB2F54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35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36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37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38" w14:textId="77777777" w:rsidR="007B671C" w:rsidRPr="00AB2F5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AB2F54" w14:paraId="0700EF48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3A" w14:textId="77777777" w:rsidR="007B671C" w:rsidRPr="00AB2F54" w:rsidRDefault="007B671C" w:rsidP="007B671C">
            <w:pPr>
              <w:jc w:val="center"/>
              <w:rPr>
                <w:sz w:val="16"/>
                <w:szCs w:val="16"/>
              </w:rPr>
            </w:pPr>
            <w:r w:rsidRPr="00AB2F54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2"/>
          </w:tcPr>
          <w:p w14:paraId="0700EF3B" w14:textId="77777777" w:rsidR="007B671C" w:rsidRPr="00AB2F54" w:rsidRDefault="007B671C" w:rsidP="007B671C">
            <w:pPr>
              <w:spacing w:after="60"/>
              <w:rPr>
                <w:sz w:val="16"/>
                <w:szCs w:val="16"/>
              </w:rPr>
            </w:pPr>
            <w:r w:rsidRPr="00AB2F54">
              <w:rPr>
                <w:sz w:val="16"/>
                <w:szCs w:val="16"/>
              </w:rPr>
              <w:t>Conflict of Interest</w:t>
            </w:r>
            <w:r>
              <w:rPr>
                <w:sz w:val="16"/>
                <w:szCs w:val="16"/>
              </w:rPr>
              <w:t xml:space="preserve"> - P</w:t>
            </w:r>
            <w:r w:rsidRPr="00AB2F54">
              <w:rPr>
                <w:sz w:val="16"/>
                <w:szCs w:val="16"/>
              </w:rPr>
              <w:t xml:space="preserve">ortfolio Management - Brokerage Selection, Best Execution – </w:t>
            </w:r>
          </w:p>
          <w:p w14:paraId="0700EF3C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F3D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Section 206</w:t>
            </w:r>
            <w:r>
              <w:rPr>
                <w:color w:val="auto"/>
                <w:sz w:val="16"/>
                <w:szCs w:val="16"/>
              </w:rPr>
              <w:t xml:space="preserve"> of the AA</w:t>
            </w:r>
          </w:p>
          <w:p w14:paraId="0700EF3E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procedures</w:t>
            </w:r>
          </w:p>
          <w:p w14:paraId="0700EF3F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865" w:type="dxa"/>
            <w:gridSpan w:val="2"/>
          </w:tcPr>
          <w:p w14:paraId="0700EF40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Failure to prevent employees from directing portfolio transactions to broker-dealer firms due to family or personal relationships with employees of the broker/dealers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41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42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43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44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45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46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47" w14:textId="77777777" w:rsidR="007B671C" w:rsidRPr="00AB2F5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AB2F54" w14:paraId="0700EF5A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49" w14:textId="77777777" w:rsidR="007B671C" w:rsidRPr="00AB2F54" w:rsidRDefault="007B671C" w:rsidP="007B671C">
            <w:pPr>
              <w:jc w:val="center"/>
              <w:rPr>
                <w:iCs/>
                <w:sz w:val="16"/>
                <w:szCs w:val="16"/>
              </w:rPr>
            </w:pPr>
            <w:r w:rsidRPr="00AB2F54"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</w:tcPr>
          <w:p w14:paraId="0700EF4A" w14:textId="77777777" w:rsidR="007B671C" w:rsidRPr="00AB2F54" w:rsidRDefault="007B671C" w:rsidP="007B671C">
            <w:pPr>
              <w:spacing w:after="60"/>
              <w:rPr>
                <w:iCs/>
                <w:sz w:val="16"/>
                <w:szCs w:val="16"/>
              </w:rPr>
            </w:pPr>
            <w:r w:rsidRPr="00AB2F54">
              <w:rPr>
                <w:iCs/>
                <w:sz w:val="16"/>
                <w:szCs w:val="16"/>
              </w:rPr>
              <w:t>Portfolio Management</w:t>
            </w:r>
            <w:r w:rsidRPr="00AB2F54">
              <w:rPr>
                <w:bCs/>
                <w:sz w:val="16"/>
                <w:szCs w:val="16"/>
              </w:rPr>
              <w:t xml:space="preserve"> - Cross Trading</w:t>
            </w:r>
          </w:p>
          <w:p w14:paraId="0700EF4B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F4C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6" w:name="17:3.0.1.1.23.0.147.28"/>
            <w:r w:rsidRPr="00AB2F54">
              <w:rPr>
                <w:color w:val="auto"/>
                <w:sz w:val="16"/>
                <w:szCs w:val="16"/>
              </w:rPr>
              <w:t>Section 206(3)-2</w:t>
            </w:r>
            <w:r>
              <w:rPr>
                <w:color w:val="auto"/>
                <w:sz w:val="16"/>
                <w:szCs w:val="16"/>
              </w:rPr>
              <w:t xml:space="preserve"> of the AA.</w:t>
            </w:r>
          </w:p>
          <w:p w14:paraId="0700EF4D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Rule 17a</w:t>
            </w:r>
            <w:r>
              <w:rPr>
                <w:color w:val="auto"/>
                <w:sz w:val="16"/>
                <w:szCs w:val="16"/>
              </w:rPr>
              <w:t>-7 of the ICA</w:t>
            </w:r>
          </w:p>
          <w:p w14:paraId="0700EF4E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Agency cross transactions for advisory clients</w:t>
            </w:r>
            <w:bookmarkEnd w:id="6"/>
            <w:r>
              <w:rPr>
                <w:color w:val="auto"/>
                <w:sz w:val="16"/>
                <w:szCs w:val="16"/>
              </w:rPr>
              <w:t>.</w:t>
            </w:r>
          </w:p>
          <w:p w14:paraId="0700EF4F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Procedures.</w:t>
            </w:r>
          </w:p>
          <w:p w14:paraId="0700EF50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Rule 38a-1 Procedures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F51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1. Failure to comply with the provisions in order to effect cross transactions amongst client accounts</w:t>
            </w:r>
          </w:p>
          <w:p w14:paraId="0700EF52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2. Failure to identify cross trades and follow procedures</w:t>
            </w:r>
            <w:r>
              <w:rPr>
                <w:color w:val="auto"/>
                <w:sz w:val="16"/>
                <w:szCs w:val="16"/>
              </w:rPr>
              <w:t xml:space="preserve"> designed to ensure compliance with rules.</w:t>
            </w:r>
          </w:p>
        </w:tc>
        <w:tc>
          <w:tcPr>
            <w:tcW w:w="2015" w:type="dxa"/>
            <w:gridSpan w:val="2"/>
          </w:tcPr>
          <w:p w14:paraId="0700EF53" w14:textId="77777777" w:rsidR="007B671C" w:rsidRPr="00AB2F54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54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55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56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57" w14:textId="77777777" w:rsidR="007B671C" w:rsidRPr="00AB2F54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58" w14:textId="77777777" w:rsidR="007B671C" w:rsidRPr="00AB2F5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59" w14:textId="77777777" w:rsidR="007B671C" w:rsidRPr="00AB2F5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AB2F54" w14:paraId="0700EF67" w14:textId="77777777" w:rsidTr="00C90918">
        <w:trPr>
          <w:cantSplit/>
          <w:trHeight w:val="775"/>
          <w:tblHeader/>
        </w:trPr>
        <w:tc>
          <w:tcPr>
            <w:tcW w:w="435" w:type="dxa"/>
          </w:tcPr>
          <w:p w14:paraId="0700EF5B" w14:textId="77777777" w:rsidR="007B671C" w:rsidRPr="00AB2F54" w:rsidRDefault="007B671C" w:rsidP="007B671C">
            <w:pPr>
              <w:jc w:val="center"/>
              <w:rPr>
                <w:iCs/>
                <w:sz w:val="16"/>
                <w:szCs w:val="16"/>
              </w:rPr>
            </w:pPr>
            <w:r w:rsidRPr="00AB2F54"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348" w:type="dxa"/>
            <w:gridSpan w:val="2"/>
          </w:tcPr>
          <w:p w14:paraId="0700EF5C" w14:textId="77777777" w:rsidR="007B671C" w:rsidRPr="00AB2F54" w:rsidRDefault="007B671C" w:rsidP="007B671C">
            <w:pPr>
              <w:spacing w:after="60"/>
              <w:rPr>
                <w:iCs/>
                <w:sz w:val="16"/>
                <w:szCs w:val="16"/>
              </w:rPr>
            </w:pPr>
            <w:r w:rsidRPr="00AB2F54">
              <w:rPr>
                <w:iCs/>
                <w:sz w:val="16"/>
                <w:szCs w:val="16"/>
              </w:rPr>
              <w:t>Portfolio Management –</w:t>
            </w:r>
            <w:r w:rsidRPr="00AB2F54">
              <w:rPr>
                <w:sz w:val="16"/>
                <w:szCs w:val="16"/>
              </w:rPr>
              <w:t xml:space="preserve"> Investment Objectives Compliance</w:t>
            </w:r>
          </w:p>
        </w:tc>
        <w:tc>
          <w:tcPr>
            <w:tcW w:w="1576" w:type="dxa"/>
            <w:gridSpan w:val="2"/>
          </w:tcPr>
          <w:p w14:paraId="0700EF5D" w14:textId="77777777" w:rsidR="007B671C" w:rsidRPr="00AB2F5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B2F54">
              <w:rPr>
                <w:color w:val="auto"/>
                <w:sz w:val="16"/>
                <w:szCs w:val="16"/>
              </w:rPr>
              <w:t>Rule 206(4)-7 Procedures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F5E" w14:textId="77777777" w:rsidR="007B671C" w:rsidRPr="00AB2F54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AB2F54">
              <w:rPr>
                <w:sz w:val="16"/>
                <w:szCs w:val="16"/>
              </w:rPr>
              <w:t>1. Failure to maintain consistency of portfolios with clients’ investment objectives/restrictions (high cash positions, re</w:t>
            </w:r>
            <w:r>
              <w:rPr>
                <w:sz w:val="16"/>
                <w:szCs w:val="16"/>
              </w:rPr>
              <w:t>stricted securities, IPOs, etc.</w:t>
            </w:r>
            <w:r w:rsidRPr="00AB2F5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14:paraId="0700EF5F" w14:textId="77777777" w:rsidR="007B671C" w:rsidRPr="00AB2F5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AB2F54">
              <w:rPr>
                <w:sz w:val="16"/>
                <w:szCs w:val="16"/>
              </w:rPr>
              <w:t>2. Failure to monitor investments</w:t>
            </w:r>
          </w:p>
        </w:tc>
        <w:tc>
          <w:tcPr>
            <w:tcW w:w="2015" w:type="dxa"/>
            <w:gridSpan w:val="2"/>
          </w:tcPr>
          <w:p w14:paraId="0700EF60" w14:textId="77777777" w:rsidR="007B671C" w:rsidRPr="00AB2F54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61" w14:textId="77777777" w:rsidR="007B671C" w:rsidRPr="00AB2F54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62" w14:textId="77777777" w:rsidR="007B671C" w:rsidRPr="00AB2F54" w:rsidRDefault="007B671C" w:rsidP="007B671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63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64" w14:textId="77777777" w:rsidR="007B671C" w:rsidRPr="00AB2F5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65" w14:textId="77777777" w:rsidR="007B671C" w:rsidRPr="00AB2F5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66" w14:textId="77777777" w:rsidR="007B671C" w:rsidRPr="00AB2F5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75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68" w14:textId="77777777" w:rsidR="007B671C" w:rsidRPr="0069781B" w:rsidRDefault="007B671C" w:rsidP="007B671C">
            <w:pPr>
              <w:jc w:val="center"/>
              <w:rPr>
                <w:iCs/>
                <w:sz w:val="16"/>
                <w:szCs w:val="16"/>
              </w:rPr>
            </w:pPr>
            <w:r w:rsidRPr="0069781B"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</w:tcPr>
          <w:p w14:paraId="0700EF69" w14:textId="77777777" w:rsidR="007B671C" w:rsidRPr="0069781B" w:rsidRDefault="007B671C" w:rsidP="007B671C">
            <w:pPr>
              <w:spacing w:after="60"/>
              <w:rPr>
                <w:iCs/>
                <w:sz w:val="16"/>
                <w:szCs w:val="16"/>
              </w:rPr>
            </w:pPr>
            <w:r w:rsidRPr="0069781B">
              <w:rPr>
                <w:iCs/>
                <w:sz w:val="16"/>
                <w:szCs w:val="16"/>
              </w:rPr>
              <w:t>Portfolio</w:t>
            </w:r>
            <w:r>
              <w:rPr>
                <w:iCs/>
                <w:sz w:val="16"/>
                <w:szCs w:val="16"/>
              </w:rPr>
              <w:t xml:space="preserve"> Management - Trade Allocation</w:t>
            </w:r>
          </w:p>
          <w:p w14:paraId="0700EF6A" w14:textId="77777777" w:rsidR="007B671C" w:rsidRPr="0069781B" w:rsidRDefault="007B671C" w:rsidP="007B671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F6B" w14:textId="77777777" w:rsidR="007B671C" w:rsidRPr="0069781B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69781B">
              <w:rPr>
                <w:sz w:val="16"/>
                <w:szCs w:val="16"/>
              </w:rPr>
              <w:t>Rule 206(4)-7 Procedures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F6C" w14:textId="77777777" w:rsidR="007B671C" w:rsidRPr="0069781B" w:rsidRDefault="007B671C" w:rsidP="007B671C">
            <w:pPr>
              <w:spacing w:after="60"/>
              <w:rPr>
                <w:color w:val="000000"/>
                <w:sz w:val="16"/>
                <w:szCs w:val="16"/>
              </w:rPr>
            </w:pPr>
            <w:r w:rsidRPr="0069781B">
              <w:rPr>
                <w:color w:val="000000"/>
                <w:sz w:val="16"/>
                <w:szCs w:val="16"/>
              </w:rPr>
              <w:t>1. Failure to fairly allocate investment opportuni</w:t>
            </w:r>
            <w:r>
              <w:rPr>
                <w:color w:val="000000"/>
                <w:sz w:val="16"/>
                <w:szCs w:val="16"/>
              </w:rPr>
              <w:t>ties (IPOs, etc.) among clients.</w:t>
            </w:r>
          </w:p>
          <w:p w14:paraId="0700EF6D" w14:textId="77777777" w:rsidR="007B671C" w:rsidRPr="0069781B" w:rsidRDefault="007B671C" w:rsidP="007B671C">
            <w:pPr>
              <w:spacing w:after="60"/>
              <w:rPr>
                <w:color w:val="000000"/>
                <w:sz w:val="16"/>
                <w:szCs w:val="16"/>
              </w:rPr>
            </w:pPr>
            <w:r w:rsidRPr="0069781B">
              <w:rPr>
                <w:color w:val="000000"/>
                <w:sz w:val="16"/>
                <w:szCs w:val="16"/>
              </w:rPr>
              <w:t>2. Failure to fairly allocate aggregated trades (and costs) among clients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6E" w14:textId="77777777" w:rsidR="007B671C" w:rsidRPr="0069781B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6F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70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71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72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73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74" w14:textId="77777777" w:rsidR="007B671C" w:rsidRPr="0069781B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85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76" w14:textId="77777777" w:rsidR="007B671C" w:rsidRPr="0069781B" w:rsidRDefault="007B671C" w:rsidP="007B671C">
            <w:pPr>
              <w:jc w:val="center"/>
              <w:rPr>
                <w:bCs/>
                <w:sz w:val="16"/>
                <w:szCs w:val="16"/>
              </w:rPr>
            </w:pPr>
            <w:r w:rsidRPr="0069781B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</w:tcPr>
          <w:p w14:paraId="0700EF77" w14:textId="77777777" w:rsidR="007B671C" w:rsidRPr="0069781B" w:rsidRDefault="007B671C" w:rsidP="007B671C">
            <w:pPr>
              <w:spacing w:after="60"/>
              <w:rPr>
                <w:sz w:val="16"/>
                <w:szCs w:val="16"/>
              </w:rPr>
            </w:pPr>
            <w:r w:rsidRPr="0069781B">
              <w:rPr>
                <w:bCs/>
                <w:sz w:val="16"/>
                <w:szCs w:val="16"/>
              </w:rPr>
              <w:t>Portfolio Management -</w:t>
            </w:r>
            <w:r>
              <w:rPr>
                <w:sz w:val="16"/>
                <w:szCs w:val="16"/>
              </w:rPr>
              <w:t>Brokerage Selection</w:t>
            </w:r>
            <w:r w:rsidRPr="0069781B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and</w:t>
            </w:r>
            <w:r w:rsidRPr="0069781B">
              <w:rPr>
                <w:bCs/>
                <w:sz w:val="16"/>
                <w:szCs w:val="16"/>
              </w:rPr>
              <w:t xml:space="preserve"> Best Execution</w:t>
            </w:r>
            <w:r>
              <w:rPr>
                <w:sz w:val="16"/>
                <w:szCs w:val="16"/>
              </w:rPr>
              <w:t>.</w:t>
            </w:r>
          </w:p>
          <w:p w14:paraId="0700EF78" w14:textId="77777777" w:rsidR="007B671C" w:rsidRPr="0069781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F79" w14:textId="77777777" w:rsidR="007B671C" w:rsidRPr="0069781B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69781B">
              <w:rPr>
                <w:color w:val="auto"/>
                <w:sz w:val="16"/>
                <w:szCs w:val="16"/>
              </w:rPr>
              <w:t>Section 206</w:t>
            </w:r>
            <w:r>
              <w:rPr>
                <w:color w:val="auto"/>
                <w:sz w:val="16"/>
                <w:szCs w:val="16"/>
              </w:rPr>
              <w:t xml:space="preserve"> of the AA.</w:t>
            </w:r>
          </w:p>
          <w:p w14:paraId="0700EF7A" w14:textId="77777777" w:rsidR="007B671C" w:rsidRPr="0069781B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69781B">
              <w:rPr>
                <w:color w:val="auto"/>
                <w:sz w:val="16"/>
                <w:szCs w:val="16"/>
              </w:rPr>
              <w:t>Compliance procedures and practices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EF7B" w14:textId="77777777" w:rsidR="007B671C" w:rsidRPr="0069781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69781B">
              <w:rPr>
                <w:color w:val="auto"/>
                <w:sz w:val="16"/>
                <w:szCs w:val="16"/>
              </w:rPr>
              <w:t>Rule 38a-1 Procedures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F7C" w14:textId="77777777" w:rsidR="007B671C" w:rsidRPr="0069781B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69781B">
              <w:rPr>
                <w:color w:val="auto"/>
                <w:sz w:val="16"/>
                <w:szCs w:val="16"/>
              </w:rPr>
              <w:t xml:space="preserve">1. Firm fails to seek to ensure that it is obtaining the best execution for client transactions by periodically evaluating the </w:t>
            </w:r>
            <w:r>
              <w:rPr>
                <w:color w:val="auto"/>
                <w:sz w:val="16"/>
                <w:szCs w:val="16"/>
              </w:rPr>
              <w:t xml:space="preserve">overall </w:t>
            </w:r>
            <w:r w:rsidRPr="0069781B">
              <w:rPr>
                <w:color w:val="auto"/>
                <w:sz w:val="16"/>
                <w:szCs w:val="16"/>
              </w:rPr>
              <w:t>performance of broker-dealers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EF7D" w14:textId="77777777" w:rsidR="007B671C" w:rsidRPr="0069781B" w:rsidRDefault="007B671C" w:rsidP="007B671C">
            <w:pPr>
              <w:spacing w:after="60"/>
              <w:rPr>
                <w:sz w:val="16"/>
                <w:szCs w:val="16"/>
              </w:rPr>
            </w:pPr>
            <w:r w:rsidRPr="0069781B">
              <w:rPr>
                <w:sz w:val="16"/>
                <w:szCs w:val="16"/>
              </w:rPr>
              <w:t xml:space="preserve">2. Failure to prevent firm/employees from directing trades to brokers </w:t>
            </w:r>
            <w:r>
              <w:rPr>
                <w:sz w:val="16"/>
                <w:szCs w:val="16"/>
              </w:rPr>
              <w:t>for reasons not based on obtaining</w:t>
            </w:r>
            <w:r w:rsidRPr="0069781B">
              <w:rPr>
                <w:sz w:val="16"/>
                <w:szCs w:val="16"/>
              </w:rPr>
              <w:t xml:space="preserve"> bes</w:t>
            </w:r>
            <w:r>
              <w:rPr>
                <w:sz w:val="16"/>
                <w:szCs w:val="16"/>
              </w:rPr>
              <w:t>t execution.</w:t>
            </w:r>
          </w:p>
        </w:tc>
        <w:tc>
          <w:tcPr>
            <w:tcW w:w="2015" w:type="dxa"/>
            <w:gridSpan w:val="2"/>
          </w:tcPr>
          <w:p w14:paraId="0700EF7E" w14:textId="77777777" w:rsidR="007B671C" w:rsidRPr="0069781B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7F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80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81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82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83" w14:textId="77777777" w:rsidR="007B671C" w:rsidRPr="0069781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84" w14:textId="77777777" w:rsidR="007B671C" w:rsidRPr="0069781B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93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86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4</w:t>
            </w:r>
            <w:r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348" w:type="dxa"/>
            <w:gridSpan w:val="2"/>
          </w:tcPr>
          <w:p w14:paraId="0700EF87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Portfolio Management -Directed Brok</w:t>
            </w:r>
            <w:r>
              <w:rPr>
                <w:bCs/>
                <w:color w:val="auto"/>
                <w:sz w:val="16"/>
                <w:szCs w:val="16"/>
              </w:rPr>
              <w:t>erage of Portfolio Transactions</w:t>
            </w:r>
          </w:p>
          <w:p w14:paraId="0700EF88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F89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Rule 12b-1(h)</w:t>
            </w:r>
            <w:r>
              <w:rPr>
                <w:bCs/>
                <w:color w:val="auto"/>
                <w:sz w:val="16"/>
                <w:szCs w:val="16"/>
              </w:rPr>
              <w:t xml:space="preserve"> of the ICA.</w:t>
            </w:r>
          </w:p>
          <w:p w14:paraId="0700EF8A" w14:textId="77777777" w:rsidR="007B671C" w:rsidRPr="00BD5DE8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EF8B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The firm or employees enter into arrangements or</w:t>
            </w: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color w:val="auto"/>
                <w:sz w:val="16"/>
                <w:szCs w:val="16"/>
              </w:rPr>
              <w:t>take into account</w:t>
            </w:r>
            <w:proofErr w:type="gramEnd"/>
            <w:r>
              <w:rPr>
                <w:bCs/>
                <w:color w:val="auto"/>
                <w:sz w:val="16"/>
                <w:szCs w:val="16"/>
              </w:rPr>
              <w:t xml:space="preserve"> promotional or selling activity of the firm’s mutual f</w:t>
            </w:r>
            <w:r w:rsidRPr="00BD5DE8">
              <w:rPr>
                <w:bCs/>
                <w:color w:val="auto"/>
                <w:sz w:val="16"/>
                <w:szCs w:val="16"/>
              </w:rPr>
              <w:t xml:space="preserve">unds in order to direct portfolio trades to BDs based on </w:t>
            </w:r>
            <w:r>
              <w:rPr>
                <w:bCs/>
                <w:color w:val="auto"/>
                <w:sz w:val="16"/>
                <w:szCs w:val="16"/>
              </w:rPr>
              <w:t xml:space="preserve">such fund promotion and </w:t>
            </w:r>
            <w:r w:rsidRPr="00BD5DE8">
              <w:rPr>
                <w:bCs/>
                <w:color w:val="auto"/>
                <w:sz w:val="16"/>
                <w:szCs w:val="16"/>
              </w:rPr>
              <w:t>sales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8C" w14:textId="77777777" w:rsidR="007B671C" w:rsidRPr="00BD5DE8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8D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8E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8F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90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91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92" w14:textId="77777777" w:rsidR="007B671C" w:rsidRPr="00BD5DE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A1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94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4</w:t>
            </w: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348" w:type="dxa"/>
            <w:gridSpan w:val="2"/>
          </w:tcPr>
          <w:p w14:paraId="0700EF95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D5DE8">
              <w:rPr>
                <w:bCs/>
                <w:color w:val="auto"/>
                <w:sz w:val="16"/>
                <w:szCs w:val="16"/>
              </w:rPr>
              <w:t>Portfolio Mana</w:t>
            </w:r>
            <w:r>
              <w:rPr>
                <w:bCs/>
                <w:color w:val="auto"/>
                <w:sz w:val="16"/>
                <w:szCs w:val="16"/>
              </w:rPr>
              <w:t>gement -Transactions and</w:t>
            </w:r>
            <w:r w:rsidRPr="00BD5DE8">
              <w:rPr>
                <w:bCs/>
                <w:color w:val="auto"/>
                <w:sz w:val="16"/>
                <w:szCs w:val="16"/>
              </w:rPr>
              <w:t xml:space="preserve"> Investments in Affiliates </w:t>
            </w:r>
          </w:p>
        </w:tc>
        <w:tc>
          <w:tcPr>
            <w:tcW w:w="1576" w:type="dxa"/>
            <w:gridSpan w:val="2"/>
          </w:tcPr>
          <w:p w14:paraId="0700EF96" w14:textId="77777777" w:rsidR="007B671C" w:rsidRPr="009A3625" w:rsidRDefault="007B671C" w:rsidP="007B671C">
            <w:pPr>
              <w:spacing w:after="60"/>
              <w:rPr>
                <w:iCs/>
                <w:sz w:val="16"/>
                <w:szCs w:val="16"/>
              </w:rPr>
            </w:pPr>
            <w:r w:rsidRPr="009A3625">
              <w:rPr>
                <w:iCs/>
                <w:sz w:val="16"/>
                <w:szCs w:val="16"/>
              </w:rPr>
              <w:t>Section 206(3)-2 of the AA.</w:t>
            </w:r>
          </w:p>
          <w:p w14:paraId="0700EF97" w14:textId="77777777" w:rsidR="007B671C" w:rsidRPr="009A3625" w:rsidRDefault="007B671C" w:rsidP="007B671C">
            <w:pPr>
              <w:spacing w:after="60"/>
              <w:rPr>
                <w:iCs/>
                <w:sz w:val="16"/>
                <w:szCs w:val="16"/>
              </w:rPr>
            </w:pPr>
            <w:r w:rsidRPr="009A3625">
              <w:rPr>
                <w:iCs/>
                <w:sz w:val="16"/>
                <w:szCs w:val="16"/>
              </w:rPr>
              <w:t>Rule 10b-18 of the1934 Act.</w:t>
            </w:r>
          </w:p>
          <w:p w14:paraId="0700EF98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865" w:type="dxa"/>
            <w:gridSpan w:val="2"/>
          </w:tcPr>
          <w:p w14:paraId="0700EF99" w14:textId="77777777" w:rsidR="007B671C" w:rsidRPr="00BD5DE8" w:rsidRDefault="007B671C" w:rsidP="007B671C">
            <w:pPr>
              <w:spacing w:after="60"/>
              <w:rPr>
                <w:sz w:val="16"/>
                <w:szCs w:val="16"/>
              </w:rPr>
            </w:pPr>
            <w:r w:rsidRPr="00BD5DE8">
              <w:rPr>
                <w:bCs/>
                <w:sz w:val="16"/>
                <w:szCs w:val="16"/>
              </w:rPr>
              <w:t>Failure to identify affiliates</w:t>
            </w:r>
            <w:r>
              <w:rPr>
                <w:sz w:val="16"/>
                <w:szCs w:val="16"/>
              </w:rPr>
              <w:t xml:space="preserve"> and/</w:t>
            </w:r>
            <w:r w:rsidRPr="00BD5DE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cause clients to invest/sell </w:t>
            </w:r>
            <w:r w:rsidRPr="00BD5DE8">
              <w:rPr>
                <w:sz w:val="16"/>
                <w:szCs w:val="16"/>
              </w:rPr>
              <w:t>securities</w:t>
            </w:r>
            <w:r>
              <w:rPr>
                <w:sz w:val="16"/>
                <w:szCs w:val="16"/>
              </w:rPr>
              <w:t xml:space="preserve"> of affiliates.</w:t>
            </w:r>
          </w:p>
        </w:tc>
        <w:tc>
          <w:tcPr>
            <w:tcW w:w="2015" w:type="dxa"/>
            <w:gridSpan w:val="2"/>
          </w:tcPr>
          <w:p w14:paraId="0700EF9A" w14:textId="77777777" w:rsidR="007B671C" w:rsidRPr="00BD5DE8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9B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9C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9D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9E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9F" w14:textId="77777777" w:rsidR="007B671C" w:rsidRPr="00BD5DE8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A0" w14:textId="77777777" w:rsidR="007B671C" w:rsidRPr="00BD5DE8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AF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A2" w14:textId="77777777" w:rsidR="007B671C" w:rsidRPr="00AC4D5B" w:rsidRDefault="007B671C" w:rsidP="007B671C">
            <w:pPr>
              <w:jc w:val="center"/>
              <w:rPr>
                <w:sz w:val="16"/>
                <w:szCs w:val="16"/>
              </w:rPr>
            </w:pPr>
            <w:r w:rsidRPr="00AC4D5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48" w:type="dxa"/>
            <w:gridSpan w:val="2"/>
          </w:tcPr>
          <w:p w14:paraId="0700EFA3" w14:textId="77777777" w:rsidR="007B671C" w:rsidRPr="00AC4D5B" w:rsidRDefault="007B671C" w:rsidP="007B671C">
            <w:pPr>
              <w:spacing w:after="6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Pricing, </w:t>
            </w:r>
            <w:r w:rsidRPr="00AC4D5B">
              <w:rPr>
                <w:sz w:val="16"/>
                <w:szCs w:val="16"/>
              </w:rPr>
              <w:t>Valu</w:t>
            </w:r>
            <w:r>
              <w:rPr>
                <w:sz w:val="16"/>
                <w:szCs w:val="16"/>
              </w:rPr>
              <w:t xml:space="preserve">ation, </w:t>
            </w:r>
            <w:r>
              <w:rPr>
                <w:bCs/>
                <w:sz w:val="16"/>
                <w:szCs w:val="16"/>
              </w:rPr>
              <w:t>Liquidity and</w:t>
            </w:r>
            <w:r w:rsidRPr="00AC4D5B">
              <w:rPr>
                <w:bCs/>
                <w:sz w:val="16"/>
                <w:szCs w:val="16"/>
              </w:rPr>
              <w:t xml:space="preserve"> Evaluation of Pricing Services</w:t>
            </w:r>
          </w:p>
        </w:tc>
        <w:tc>
          <w:tcPr>
            <w:tcW w:w="1576" w:type="dxa"/>
            <w:gridSpan w:val="2"/>
          </w:tcPr>
          <w:p w14:paraId="0700EFA4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Procedures.</w:t>
            </w:r>
          </w:p>
          <w:p w14:paraId="0700EFA5" w14:textId="77777777" w:rsidR="007B671C" w:rsidRPr="00AC4D5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bCs/>
                <w:color w:val="auto"/>
                <w:sz w:val="16"/>
                <w:szCs w:val="16"/>
              </w:rPr>
              <w:t>Rule 38a-1 Procedures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FA6" w14:textId="77777777" w:rsidR="007B671C" w:rsidRDefault="007B671C" w:rsidP="007B671C">
            <w:pPr>
              <w:spacing w:after="60"/>
              <w:rPr>
                <w:iCs/>
                <w:sz w:val="16"/>
                <w:szCs w:val="16"/>
              </w:rPr>
            </w:pPr>
            <w:r w:rsidRPr="00AC4D5B">
              <w:rPr>
                <w:iCs/>
                <w:sz w:val="16"/>
                <w:szCs w:val="16"/>
              </w:rPr>
              <w:t xml:space="preserve">1. Failure to follow pricing and fair valuation procedures in order to </w:t>
            </w:r>
            <w:r>
              <w:rPr>
                <w:iCs/>
                <w:sz w:val="16"/>
                <w:szCs w:val="16"/>
              </w:rPr>
              <w:t xml:space="preserve">fairly and accurately </w:t>
            </w:r>
            <w:r w:rsidRPr="00AC4D5B">
              <w:rPr>
                <w:iCs/>
                <w:sz w:val="16"/>
                <w:szCs w:val="16"/>
              </w:rPr>
              <w:t>value client holdings</w:t>
            </w:r>
            <w:r>
              <w:rPr>
                <w:iCs/>
                <w:sz w:val="16"/>
                <w:szCs w:val="16"/>
              </w:rPr>
              <w:t>.</w:t>
            </w:r>
          </w:p>
          <w:p w14:paraId="0700EFA7" w14:textId="77777777" w:rsidR="007B671C" w:rsidRPr="00AC4D5B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Failure to recognize and review </w:t>
            </w:r>
            <w:r w:rsidRPr="00AC4D5B">
              <w:rPr>
                <w:iCs/>
                <w:sz w:val="16"/>
                <w:szCs w:val="16"/>
              </w:rPr>
              <w:t>price</w:t>
            </w:r>
            <w:r>
              <w:rPr>
                <w:iCs/>
                <w:sz w:val="16"/>
                <w:szCs w:val="16"/>
              </w:rPr>
              <w:t>s of securities that have gone stale.</w:t>
            </w:r>
          </w:p>
        </w:tc>
        <w:tc>
          <w:tcPr>
            <w:tcW w:w="2015" w:type="dxa"/>
            <w:gridSpan w:val="2"/>
          </w:tcPr>
          <w:p w14:paraId="0700EFA8" w14:textId="77777777" w:rsidR="007B671C" w:rsidRPr="00AC4D5B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A9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AA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AB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AC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AD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AE" w14:textId="77777777" w:rsidR="007B671C" w:rsidRPr="00AC4D5B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C0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B0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49</w:t>
            </w:r>
          </w:p>
        </w:tc>
        <w:tc>
          <w:tcPr>
            <w:tcW w:w="1348" w:type="dxa"/>
            <w:gridSpan w:val="2"/>
          </w:tcPr>
          <w:p w14:paraId="0700EFB1" w14:textId="77777777" w:rsidR="007B671C" w:rsidRPr="00AC4D5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bCs/>
                <w:color w:val="auto"/>
                <w:sz w:val="16"/>
                <w:szCs w:val="16"/>
              </w:rPr>
              <w:t xml:space="preserve">Privacy Policy </w:t>
            </w:r>
          </w:p>
        </w:tc>
        <w:tc>
          <w:tcPr>
            <w:tcW w:w="1576" w:type="dxa"/>
            <w:gridSpan w:val="2"/>
          </w:tcPr>
          <w:p w14:paraId="0700EFB2" w14:textId="77777777" w:rsidR="007B671C" w:rsidRPr="00AC4D5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color w:val="auto"/>
                <w:sz w:val="16"/>
                <w:szCs w:val="16"/>
              </w:rPr>
              <w:t>Privacy Act</w:t>
            </w:r>
            <w:r w:rsidRPr="00AC4D5B">
              <w:rPr>
                <w:bCs/>
                <w:color w:val="auto"/>
                <w:sz w:val="16"/>
                <w:szCs w:val="16"/>
              </w:rPr>
              <w:t xml:space="preserve"> (Regulation S-P)</w:t>
            </w:r>
          </w:p>
          <w:p w14:paraId="0700EFB3" w14:textId="77777777" w:rsidR="007B671C" w:rsidRPr="00AC4D5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bCs/>
                <w:color w:val="auto"/>
                <w:sz w:val="16"/>
                <w:szCs w:val="16"/>
              </w:rPr>
              <w:t>Section 206(4)-7</w:t>
            </w:r>
            <w:r>
              <w:rPr>
                <w:bCs/>
                <w:color w:val="auto"/>
                <w:sz w:val="16"/>
                <w:szCs w:val="16"/>
              </w:rPr>
              <w:t xml:space="preserve"> Procedures.</w:t>
            </w:r>
          </w:p>
          <w:p w14:paraId="0700EFB4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bCs/>
                <w:color w:val="auto"/>
                <w:sz w:val="16"/>
                <w:szCs w:val="16"/>
              </w:rPr>
              <w:t>Rule 38a-1 Procedures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FB5" w14:textId="77777777" w:rsidR="007B671C" w:rsidRPr="00AC4D5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bCs/>
                <w:color w:val="auto"/>
                <w:sz w:val="16"/>
                <w:szCs w:val="16"/>
              </w:rPr>
              <w:t>Rule 260.238(m) of CA Code of Regs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FB6" w14:textId="77777777" w:rsidR="007B671C" w:rsidRPr="00AC4D5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AC4D5B">
              <w:rPr>
                <w:bCs/>
                <w:color w:val="auto"/>
                <w:sz w:val="16"/>
                <w:szCs w:val="16"/>
              </w:rPr>
              <w:t>MA Laws</w:t>
            </w:r>
          </w:p>
        </w:tc>
        <w:tc>
          <w:tcPr>
            <w:tcW w:w="2865" w:type="dxa"/>
            <w:gridSpan w:val="2"/>
          </w:tcPr>
          <w:p w14:paraId="0700EFB7" w14:textId="77777777" w:rsidR="007B671C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AC4D5B">
              <w:rPr>
                <w:sz w:val="16"/>
                <w:szCs w:val="16"/>
              </w:rPr>
              <w:t xml:space="preserve">Failure to provide initial and annual privacy notices, to provide training </w:t>
            </w:r>
            <w:r>
              <w:rPr>
                <w:sz w:val="16"/>
                <w:szCs w:val="16"/>
              </w:rPr>
              <w:t>and restrict employee access and</w:t>
            </w:r>
            <w:r w:rsidRPr="00AC4D5B">
              <w:rPr>
                <w:sz w:val="16"/>
                <w:szCs w:val="16"/>
              </w:rPr>
              <w:t xml:space="preserve"> safeguard non-public personal client information</w:t>
            </w:r>
            <w:r>
              <w:rPr>
                <w:sz w:val="16"/>
                <w:szCs w:val="16"/>
              </w:rPr>
              <w:t>.</w:t>
            </w:r>
          </w:p>
          <w:p w14:paraId="0700EFB8" w14:textId="77777777" w:rsidR="007B671C" w:rsidRPr="00AC4D5B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Failure to provide required notices should a privacy breach occurs.</w:t>
            </w:r>
          </w:p>
        </w:tc>
        <w:tc>
          <w:tcPr>
            <w:tcW w:w="2015" w:type="dxa"/>
            <w:gridSpan w:val="2"/>
          </w:tcPr>
          <w:p w14:paraId="0700EFB9" w14:textId="77777777" w:rsidR="007B671C" w:rsidRPr="00AC4D5B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BA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BB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BC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BD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BE" w14:textId="77777777" w:rsidR="007B671C" w:rsidRPr="00AC4D5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BF" w14:textId="77777777" w:rsidR="007B671C" w:rsidRPr="00AC4D5B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CC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C1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>5</w:t>
            </w:r>
            <w:r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348" w:type="dxa"/>
            <w:gridSpan w:val="2"/>
          </w:tcPr>
          <w:p w14:paraId="0700EFC2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>Proxy Voting</w:t>
            </w:r>
          </w:p>
        </w:tc>
        <w:tc>
          <w:tcPr>
            <w:tcW w:w="1576" w:type="dxa"/>
            <w:gridSpan w:val="2"/>
          </w:tcPr>
          <w:p w14:paraId="0700EFC3" w14:textId="77777777" w:rsidR="007B671C" w:rsidRPr="009F6915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7" w:name="17:3.0.1.1.23.0.147.34"/>
            <w:r w:rsidRPr="009F6915">
              <w:rPr>
                <w:color w:val="auto"/>
                <w:sz w:val="16"/>
                <w:szCs w:val="16"/>
              </w:rPr>
              <w:t>Section 206(4)-6</w:t>
            </w:r>
            <w:r>
              <w:rPr>
                <w:color w:val="auto"/>
                <w:sz w:val="16"/>
                <w:szCs w:val="16"/>
              </w:rPr>
              <w:t xml:space="preserve"> of the AA.</w:t>
            </w:r>
            <w:bookmarkEnd w:id="7"/>
          </w:p>
        </w:tc>
        <w:tc>
          <w:tcPr>
            <w:tcW w:w="2865" w:type="dxa"/>
            <w:gridSpan w:val="2"/>
          </w:tcPr>
          <w:p w14:paraId="0700EFC4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 xml:space="preserve">Failure to adopt and follow proxy voting policies </w:t>
            </w:r>
            <w:r>
              <w:rPr>
                <w:bCs/>
                <w:color w:val="auto"/>
                <w:sz w:val="16"/>
                <w:szCs w:val="16"/>
              </w:rPr>
              <w:t xml:space="preserve">and procedures and to describe and offer them, along with </w:t>
            </w:r>
            <w:r w:rsidRPr="009F6915">
              <w:rPr>
                <w:bCs/>
                <w:color w:val="auto"/>
                <w:sz w:val="16"/>
                <w:szCs w:val="16"/>
              </w:rPr>
              <w:t>voting information to clients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C5" w14:textId="77777777" w:rsidR="007B671C" w:rsidRPr="009F691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C6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C7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C8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C9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CA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CB" w14:textId="77777777" w:rsidR="007B671C" w:rsidRPr="009F691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DA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CD" w14:textId="77777777" w:rsidR="007B671C" w:rsidRPr="009F6915" w:rsidRDefault="007B671C" w:rsidP="007B671C">
            <w:pPr>
              <w:jc w:val="center"/>
              <w:rPr>
                <w:sz w:val="16"/>
                <w:szCs w:val="16"/>
              </w:rPr>
            </w:pPr>
            <w:r w:rsidRPr="009F691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2"/>
          </w:tcPr>
          <w:p w14:paraId="0700EFCE" w14:textId="77777777" w:rsidR="007B671C" w:rsidRPr="009F6915" w:rsidRDefault="007B671C" w:rsidP="007B671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</w:t>
            </w:r>
          </w:p>
          <w:p w14:paraId="0700EFCF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gridSpan w:val="2"/>
          </w:tcPr>
          <w:p w14:paraId="0700EFD0" w14:textId="77777777" w:rsidR="007B671C" w:rsidRPr="009F6915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Procedures.</w:t>
            </w:r>
          </w:p>
          <w:p w14:paraId="0700EFD1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865" w:type="dxa"/>
            <w:gridSpan w:val="2"/>
          </w:tcPr>
          <w:p w14:paraId="0700EFD2" w14:textId="77777777" w:rsidR="007B671C" w:rsidRPr="009F6915" w:rsidRDefault="007B671C" w:rsidP="007B671C">
            <w:pPr>
              <w:spacing w:after="60"/>
              <w:rPr>
                <w:sz w:val="16"/>
                <w:szCs w:val="16"/>
              </w:rPr>
            </w:pPr>
            <w:r w:rsidRPr="009F6915">
              <w:rPr>
                <w:sz w:val="16"/>
                <w:szCs w:val="16"/>
              </w:rPr>
              <w:t xml:space="preserve">Failure to conduct a risk assessment may </w:t>
            </w:r>
            <w:r>
              <w:rPr>
                <w:sz w:val="16"/>
                <w:szCs w:val="16"/>
              </w:rPr>
              <w:t xml:space="preserve">be </w:t>
            </w:r>
            <w:r w:rsidRPr="009F6915">
              <w:rPr>
                <w:sz w:val="16"/>
                <w:szCs w:val="16"/>
              </w:rPr>
              <w:t>viewed as a deficiency in</w:t>
            </w:r>
            <w:r>
              <w:rPr>
                <w:sz w:val="16"/>
                <w:szCs w:val="16"/>
              </w:rPr>
              <w:t xml:space="preserve"> the development of the firm’s </w:t>
            </w:r>
            <w:r w:rsidRPr="009F6915">
              <w:rPr>
                <w:sz w:val="16"/>
                <w:szCs w:val="16"/>
              </w:rPr>
              <w:t>compliance program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D3" w14:textId="77777777" w:rsidR="007B671C" w:rsidRPr="009F691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D4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D5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D6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D7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D8" w14:textId="77777777" w:rsidR="007B671C" w:rsidRPr="009F691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D9" w14:textId="77777777" w:rsidR="007B671C" w:rsidRPr="009F691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E9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DB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>5</w:t>
            </w: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</w:tcPr>
          <w:p w14:paraId="0700EFDC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>Rule 12b-1</w:t>
            </w:r>
          </w:p>
        </w:tc>
        <w:tc>
          <w:tcPr>
            <w:tcW w:w="1576" w:type="dxa"/>
            <w:gridSpan w:val="2"/>
          </w:tcPr>
          <w:p w14:paraId="0700EFDD" w14:textId="77777777" w:rsidR="007B671C" w:rsidRPr="009F6915" w:rsidRDefault="007B671C" w:rsidP="007B671C">
            <w:pPr>
              <w:pStyle w:val="Default"/>
              <w:spacing w:after="60"/>
              <w:rPr>
                <w:sz w:val="16"/>
                <w:szCs w:val="16"/>
              </w:rPr>
            </w:pPr>
            <w:r w:rsidRPr="009F6915">
              <w:rPr>
                <w:sz w:val="16"/>
                <w:szCs w:val="16"/>
              </w:rPr>
              <w:t xml:space="preserve">Rule 12b-1 of the </w:t>
            </w:r>
            <w:r>
              <w:rPr>
                <w:sz w:val="16"/>
                <w:szCs w:val="16"/>
              </w:rPr>
              <w:t>ICA.</w:t>
            </w:r>
          </w:p>
          <w:p w14:paraId="0700EFDE" w14:textId="77777777" w:rsidR="007B671C" w:rsidRPr="009F6915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9F6915">
              <w:rPr>
                <w:sz w:val="16"/>
                <w:szCs w:val="16"/>
              </w:rPr>
              <w:t>Rule 38a-1 Procedures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65" w:type="dxa"/>
            <w:gridSpan w:val="2"/>
          </w:tcPr>
          <w:p w14:paraId="0700EFDF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>1. Failure to follow</w:t>
            </w:r>
            <w:r>
              <w:rPr>
                <w:bCs/>
                <w:color w:val="auto"/>
                <w:sz w:val="16"/>
                <w:szCs w:val="16"/>
              </w:rPr>
              <w:t xml:space="preserve"> 12b-1 rules and have fund board annually approve distribution plan.</w:t>
            </w:r>
          </w:p>
          <w:p w14:paraId="0700EFE0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 xml:space="preserve">2. Failure to provide quarterly reports to the </w:t>
            </w:r>
            <w:r>
              <w:rPr>
                <w:bCs/>
                <w:color w:val="auto"/>
                <w:sz w:val="16"/>
                <w:szCs w:val="16"/>
              </w:rPr>
              <w:t>fund b</w:t>
            </w:r>
            <w:r w:rsidRPr="009F6915">
              <w:rPr>
                <w:bCs/>
                <w:color w:val="auto"/>
                <w:sz w:val="16"/>
                <w:szCs w:val="16"/>
              </w:rPr>
              <w:t>oard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EFE1" w14:textId="77777777" w:rsidR="007B671C" w:rsidRPr="009F6915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9F6915">
              <w:rPr>
                <w:bCs/>
                <w:color w:val="auto"/>
                <w:sz w:val="16"/>
                <w:szCs w:val="16"/>
              </w:rPr>
              <w:t xml:space="preserve">3. Failure to maintain </w:t>
            </w:r>
            <w:r>
              <w:rPr>
                <w:bCs/>
                <w:color w:val="auto"/>
                <w:sz w:val="16"/>
                <w:szCs w:val="16"/>
              </w:rPr>
              <w:t xml:space="preserve">required </w:t>
            </w:r>
            <w:r w:rsidRPr="009F6915">
              <w:rPr>
                <w:bCs/>
                <w:color w:val="auto"/>
                <w:sz w:val="16"/>
                <w:szCs w:val="16"/>
              </w:rPr>
              <w:t>records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E2" w14:textId="77777777" w:rsidR="007B671C" w:rsidRPr="009F6915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E3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E4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E5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E6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E7" w14:textId="77777777" w:rsidR="007B671C" w:rsidRPr="009F6915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E8" w14:textId="77777777" w:rsidR="007B671C" w:rsidRPr="009F6915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EFF8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EA" w14:textId="77777777" w:rsidR="007B671C" w:rsidRPr="001E7E6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1E7E64">
              <w:rPr>
                <w:bCs/>
                <w:color w:val="auto"/>
                <w:sz w:val="16"/>
                <w:szCs w:val="16"/>
              </w:rPr>
              <w:t>5</w:t>
            </w: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348" w:type="dxa"/>
            <w:gridSpan w:val="2"/>
          </w:tcPr>
          <w:p w14:paraId="0700EFEB" w14:textId="77777777" w:rsidR="007B671C" w:rsidRPr="001E7E6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Safeguarding Client Funds and</w:t>
            </w:r>
            <w:r w:rsidRPr="001E7E64">
              <w:rPr>
                <w:bCs/>
                <w:color w:val="auto"/>
                <w:sz w:val="16"/>
                <w:szCs w:val="16"/>
              </w:rPr>
              <w:t xml:space="preserve"> Securities</w:t>
            </w:r>
          </w:p>
        </w:tc>
        <w:tc>
          <w:tcPr>
            <w:tcW w:w="1576" w:type="dxa"/>
            <w:gridSpan w:val="2"/>
          </w:tcPr>
          <w:p w14:paraId="0700EFEC" w14:textId="77777777" w:rsidR="007B671C" w:rsidRPr="001E7E6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8" w:name="17:3.0.1.1.23.0.147.31"/>
            <w:r>
              <w:rPr>
                <w:color w:val="auto"/>
                <w:sz w:val="16"/>
                <w:szCs w:val="16"/>
              </w:rPr>
              <w:t>Rule</w:t>
            </w:r>
            <w:r w:rsidRPr="001E7E64">
              <w:rPr>
                <w:color w:val="auto"/>
                <w:sz w:val="16"/>
                <w:szCs w:val="16"/>
              </w:rPr>
              <w:t xml:space="preserve"> 206(4)-2</w:t>
            </w:r>
            <w:r>
              <w:rPr>
                <w:color w:val="auto"/>
                <w:sz w:val="16"/>
                <w:szCs w:val="16"/>
              </w:rPr>
              <w:t xml:space="preserve"> of the AA.</w:t>
            </w:r>
            <w:bookmarkEnd w:id="8"/>
          </w:p>
          <w:p w14:paraId="0700EFED" w14:textId="77777777" w:rsidR="007B671C" w:rsidRPr="001E7E64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Section 17(f) of ICA and related rules.</w:t>
            </w:r>
          </w:p>
          <w:p w14:paraId="0700EFEE" w14:textId="77777777" w:rsidR="007B671C" w:rsidRPr="001E7E6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E7E64">
              <w:rPr>
                <w:color w:val="auto"/>
                <w:sz w:val="16"/>
                <w:szCs w:val="16"/>
              </w:rPr>
              <w:t>Rule 38a-1</w:t>
            </w:r>
            <w:r>
              <w:rPr>
                <w:color w:val="auto"/>
                <w:sz w:val="16"/>
                <w:szCs w:val="16"/>
              </w:rPr>
              <w:t xml:space="preserve"> Procedures.</w:t>
            </w:r>
          </w:p>
        </w:tc>
        <w:tc>
          <w:tcPr>
            <w:tcW w:w="2865" w:type="dxa"/>
            <w:gridSpan w:val="2"/>
          </w:tcPr>
          <w:p w14:paraId="0700EFEF" w14:textId="77777777" w:rsidR="007B671C" w:rsidRPr="001E7E64" w:rsidRDefault="007B671C" w:rsidP="007B671C">
            <w:pPr>
              <w:spacing w:after="60"/>
              <w:rPr>
                <w:sz w:val="16"/>
                <w:szCs w:val="16"/>
              </w:rPr>
            </w:pPr>
            <w:r w:rsidRPr="001E7E64">
              <w:rPr>
                <w:bCs/>
                <w:sz w:val="16"/>
                <w:szCs w:val="16"/>
              </w:rPr>
              <w:t>1. Failure to s</w:t>
            </w:r>
            <w:r w:rsidRPr="001E7E64">
              <w:rPr>
                <w:iCs/>
                <w:sz w:val="16"/>
                <w:szCs w:val="16"/>
              </w:rPr>
              <w:t>afeguard client assets</w:t>
            </w:r>
            <w:r w:rsidRPr="001E7E64">
              <w:rPr>
                <w:sz w:val="16"/>
                <w:szCs w:val="16"/>
              </w:rPr>
              <w:t xml:space="preserve"> from conversion or inappropriate use by the Firm or its personnel or to g</w:t>
            </w:r>
            <w:r w:rsidRPr="001E7E64">
              <w:rPr>
                <w:bCs/>
                <w:sz w:val="16"/>
                <w:szCs w:val="16"/>
              </w:rPr>
              <w:t>ain or maintain custody of client funds o</w:t>
            </w:r>
            <w:r>
              <w:rPr>
                <w:bCs/>
                <w:sz w:val="16"/>
                <w:szCs w:val="16"/>
              </w:rPr>
              <w:t xml:space="preserve">r securities without following </w:t>
            </w:r>
            <w:r w:rsidRPr="001E7E64">
              <w:rPr>
                <w:bCs/>
                <w:sz w:val="16"/>
                <w:szCs w:val="16"/>
              </w:rPr>
              <w:t xml:space="preserve">206(4)-2 procedures including </w:t>
            </w:r>
            <w:r w:rsidRPr="001E7E64">
              <w:rPr>
                <w:sz w:val="16"/>
                <w:szCs w:val="16"/>
              </w:rPr>
              <w:t>failure to segrega</w:t>
            </w:r>
            <w:r>
              <w:rPr>
                <w:sz w:val="16"/>
                <w:szCs w:val="16"/>
              </w:rPr>
              <w:t>te duties or properly supervise</w:t>
            </w:r>
            <w:r w:rsidRPr="001E7E64">
              <w:rPr>
                <w:sz w:val="16"/>
                <w:szCs w:val="16"/>
              </w:rPr>
              <w:t>; make direct debit of fees from custodial accou</w:t>
            </w:r>
            <w:r>
              <w:rPr>
                <w:sz w:val="16"/>
                <w:szCs w:val="16"/>
              </w:rPr>
              <w:t>nt without client authorization.</w:t>
            </w:r>
          </w:p>
          <w:p w14:paraId="0700EFF0" w14:textId="77777777" w:rsidR="007B671C" w:rsidRPr="001E7E64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1E7E64">
              <w:rPr>
                <w:sz w:val="16"/>
                <w:szCs w:val="16"/>
              </w:rPr>
              <w:t>2. Failure of Funds’ TA to adopt and implement procedures to prevent unauthorized transactions in client accounts (theft, etc.)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EFF1" w14:textId="77777777" w:rsidR="007B671C" w:rsidRPr="001E7E64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EFF2" w14:textId="77777777" w:rsidR="007B671C" w:rsidRPr="001E7E6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EFF3" w14:textId="77777777" w:rsidR="007B671C" w:rsidRPr="001E7E6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EFF4" w14:textId="77777777" w:rsidR="007B671C" w:rsidRPr="001E7E6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EFF5" w14:textId="77777777" w:rsidR="007B671C" w:rsidRPr="001E7E6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EFF6" w14:textId="77777777" w:rsidR="007B671C" w:rsidRPr="001E7E64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EFF7" w14:textId="77777777" w:rsidR="007B671C" w:rsidRPr="001E7E64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09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EFF9" w14:textId="77777777" w:rsidR="007B671C" w:rsidRPr="00787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787DAB">
              <w:rPr>
                <w:bCs/>
                <w:color w:val="auto"/>
                <w:sz w:val="16"/>
                <w:szCs w:val="16"/>
              </w:rPr>
              <w:t>5</w:t>
            </w: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</w:tcPr>
          <w:p w14:paraId="0700EFFA" w14:textId="77777777" w:rsidR="007B671C" w:rsidRPr="00787DA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787DAB">
              <w:rPr>
                <w:bCs/>
                <w:color w:val="auto"/>
                <w:sz w:val="16"/>
                <w:szCs w:val="16"/>
              </w:rPr>
              <w:t>Sarbanes-Oxley Code of Ethics</w:t>
            </w:r>
          </w:p>
          <w:p w14:paraId="0700EFFB" w14:textId="77777777" w:rsidR="007B671C" w:rsidRPr="00787DAB" w:rsidRDefault="007B671C" w:rsidP="007B671C">
            <w:pPr>
              <w:spacing w:after="60"/>
              <w:rPr>
                <w:sz w:val="16"/>
                <w:szCs w:val="16"/>
              </w:rPr>
            </w:pPr>
            <w:r w:rsidRPr="00787DAB">
              <w:rPr>
                <w:sz w:val="16"/>
                <w:szCs w:val="16"/>
              </w:rPr>
              <w:t xml:space="preserve">Regulatory Filings and Disclosures </w:t>
            </w:r>
          </w:p>
          <w:p w14:paraId="0700EFFC" w14:textId="77777777" w:rsidR="007B671C" w:rsidRPr="00787DA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787DAB"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gridSpan w:val="2"/>
          </w:tcPr>
          <w:p w14:paraId="0700EFFD" w14:textId="77777777" w:rsidR="007B671C" w:rsidRPr="00787DAB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787DAB">
              <w:rPr>
                <w:color w:val="auto"/>
                <w:sz w:val="16"/>
                <w:szCs w:val="16"/>
              </w:rPr>
              <w:t>Sarbanes-Oxley Act</w:t>
            </w:r>
          </w:p>
          <w:p w14:paraId="0700EFFE" w14:textId="77777777" w:rsidR="007B671C" w:rsidRPr="00787DAB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787DAB">
              <w:rPr>
                <w:color w:val="auto"/>
                <w:sz w:val="16"/>
                <w:szCs w:val="16"/>
              </w:rPr>
              <w:t>Rule 38a-1 Procedures</w:t>
            </w:r>
          </w:p>
          <w:p w14:paraId="0700EFFF" w14:textId="77777777" w:rsidR="007B671C" w:rsidRPr="00787DAB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</w:p>
        </w:tc>
        <w:tc>
          <w:tcPr>
            <w:tcW w:w="2865" w:type="dxa"/>
            <w:gridSpan w:val="2"/>
          </w:tcPr>
          <w:p w14:paraId="0700F000" w14:textId="77777777" w:rsidR="007B671C" w:rsidRPr="00787DA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787DAB">
              <w:rPr>
                <w:bCs/>
                <w:color w:val="auto"/>
                <w:sz w:val="16"/>
                <w:szCs w:val="16"/>
              </w:rPr>
              <w:t>1. Failure to prevent conflict of interest and personal benefit of covered officers, personal business transactions, outside employment/activities, corporate opportunities, etc.</w:t>
            </w:r>
          </w:p>
          <w:p w14:paraId="0700F001" w14:textId="77777777" w:rsidR="007B671C" w:rsidRPr="00787DAB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787DAB">
              <w:rPr>
                <w:bCs/>
                <w:color w:val="auto"/>
                <w:sz w:val="16"/>
                <w:szCs w:val="16"/>
              </w:rPr>
              <w:t>2. Failure to ensures full, fair, accurate, timely disclosure by covered officers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02" w14:textId="77777777" w:rsidR="007B671C" w:rsidRPr="00787DAB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03" w14:textId="77777777" w:rsidR="007B671C" w:rsidRPr="00787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04" w14:textId="77777777" w:rsidR="007B671C" w:rsidRPr="00787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05" w14:textId="77777777" w:rsidR="007B671C" w:rsidRPr="00787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06" w14:textId="77777777" w:rsidR="007B671C" w:rsidRPr="00787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07" w14:textId="77777777" w:rsidR="007B671C" w:rsidRPr="00787DAB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08" w14:textId="77777777" w:rsidR="007B671C" w:rsidRPr="00787DAB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17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0A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5</w:t>
            </w: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</w:tcPr>
          <w:p w14:paraId="0700F00B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Section 13 Reporting</w:t>
            </w:r>
          </w:p>
        </w:tc>
        <w:tc>
          <w:tcPr>
            <w:tcW w:w="1576" w:type="dxa"/>
            <w:gridSpan w:val="2"/>
          </w:tcPr>
          <w:p w14:paraId="0700F00C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C502FA">
              <w:rPr>
                <w:color w:val="auto"/>
                <w:sz w:val="16"/>
                <w:szCs w:val="16"/>
              </w:rPr>
              <w:t xml:space="preserve">Section 13 of the </w:t>
            </w:r>
            <w:r>
              <w:rPr>
                <w:color w:val="auto"/>
                <w:sz w:val="16"/>
                <w:szCs w:val="16"/>
              </w:rPr>
              <w:t>1934 Act.</w:t>
            </w:r>
          </w:p>
          <w:p w14:paraId="0700F00D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</w:t>
            </w:r>
            <w:r w:rsidRPr="00C502FA">
              <w:rPr>
                <w:color w:val="auto"/>
                <w:sz w:val="16"/>
                <w:szCs w:val="16"/>
              </w:rPr>
              <w:t xml:space="preserve"> 206(4)-7</w:t>
            </w:r>
            <w:r>
              <w:rPr>
                <w:color w:val="auto"/>
                <w:sz w:val="16"/>
                <w:szCs w:val="16"/>
              </w:rPr>
              <w:t xml:space="preserve"> Procedures.</w:t>
            </w:r>
          </w:p>
        </w:tc>
        <w:tc>
          <w:tcPr>
            <w:tcW w:w="2865" w:type="dxa"/>
            <w:gridSpan w:val="2"/>
          </w:tcPr>
          <w:p w14:paraId="0700F00E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1. Failure to timely and properly file required reports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F00F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2. Failure to ensure reports are accurate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10" w14:textId="77777777" w:rsidR="007B671C" w:rsidRPr="00C502FA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11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12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13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14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15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16" w14:textId="77777777" w:rsidR="007B671C" w:rsidRPr="00C502FA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26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18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lastRenderedPageBreak/>
              <w:t>5</w:t>
            </w:r>
            <w:r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348" w:type="dxa"/>
            <w:gridSpan w:val="2"/>
          </w:tcPr>
          <w:p w14:paraId="0700F019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Securities Lending</w:t>
            </w:r>
          </w:p>
        </w:tc>
        <w:tc>
          <w:tcPr>
            <w:tcW w:w="1576" w:type="dxa"/>
            <w:gridSpan w:val="2"/>
          </w:tcPr>
          <w:p w14:paraId="0700F01A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 xml:space="preserve">Rule 17f-2 of the </w:t>
            </w:r>
            <w:smartTag w:uri="urn:schemas-microsoft-com:office:smarttags" w:element="City">
              <w:smartTag w:uri="urn:schemas-microsoft-com:office:smarttags" w:element="place">
                <w:r w:rsidRPr="00C502FA">
                  <w:rPr>
                    <w:bCs/>
                    <w:color w:val="auto"/>
                    <w:sz w:val="16"/>
                    <w:szCs w:val="16"/>
                  </w:rPr>
                  <w:t>ICA</w:t>
                </w:r>
              </w:smartTag>
            </w:smartTag>
          </w:p>
          <w:p w14:paraId="0700F01B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Rule 38a-1</w:t>
            </w:r>
            <w:r>
              <w:rPr>
                <w:bCs/>
                <w:color w:val="auto"/>
                <w:sz w:val="16"/>
                <w:szCs w:val="16"/>
              </w:rPr>
              <w:t xml:space="preserve"> Procedures.</w:t>
            </w:r>
          </w:p>
        </w:tc>
        <w:tc>
          <w:tcPr>
            <w:tcW w:w="2865" w:type="dxa"/>
            <w:gridSpan w:val="2"/>
          </w:tcPr>
          <w:p w14:paraId="0700F01C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C502FA">
              <w:rPr>
                <w:color w:val="auto"/>
                <w:sz w:val="16"/>
                <w:szCs w:val="16"/>
              </w:rPr>
              <w:t>1. Funds exceed the maximum permitted loan percentages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F01D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C502FA">
              <w:rPr>
                <w:color w:val="auto"/>
                <w:sz w:val="16"/>
                <w:szCs w:val="16"/>
              </w:rPr>
              <w:t>2. Failure to ensure proper collateralization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F01E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C502FA">
              <w:rPr>
                <w:color w:val="auto"/>
                <w:sz w:val="16"/>
                <w:szCs w:val="16"/>
              </w:rPr>
              <w:t>3 Failure of lending agent to properly assess the financial condition of borrower</w:t>
            </w:r>
            <w:r>
              <w:rPr>
                <w:color w:val="auto"/>
                <w:sz w:val="16"/>
                <w:szCs w:val="16"/>
              </w:rPr>
              <w:t>s.</w:t>
            </w:r>
          </w:p>
        </w:tc>
        <w:tc>
          <w:tcPr>
            <w:tcW w:w="2015" w:type="dxa"/>
            <w:gridSpan w:val="2"/>
          </w:tcPr>
          <w:p w14:paraId="0700F01F" w14:textId="77777777" w:rsidR="007B671C" w:rsidRPr="00C502FA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20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21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22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23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24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25" w14:textId="77777777" w:rsidR="007B671C" w:rsidRPr="00C502FA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35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27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57</w:t>
            </w:r>
          </w:p>
        </w:tc>
        <w:tc>
          <w:tcPr>
            <w:tcW w:w="1348" w:type="dxa"/>
            <w:gridSpan w:val="2"/>
          </w:tcPr>
          <w:p w14:paraId="0700F028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Service Providers</w:t>
            </w:r>
          </w:p>
        </w:tc>
        <w:tc>
          <w:tcPr>
            <w:tcW w:w="1576" w:type="dxa"/>
            <w:gridSpan w:val="2"/>
          </w:tcPr>
          <w:p w14:paraId="0700F029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C502FA">
              <w:rPr>
                <w:color w:val="auto"/>
                <w:sz w:val="16"/>
                <w:szCs w:val="16"/>
              </w:rPr>
              <w:t xml:space="preserve">Rule 206(4)-7 Procedures </w:t>
            </w:r>
          </w:p>
          <w:p w14:paraId="0700F02A" w14:textId="77777777" w:rsidR="007B671C" w:rsidRPr="00C502FA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C502FA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F02B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1. Failure to monitor the performance of service providers, including phy</w:t>
            </w:r>
            <w:r>
              <w:rPr>
                <w:bCs/>
                <w:color w:val="auto"/>
                <w:sz w:val="16"/>
                <w:szCs w:val="16"/>
              </w:rPr>
              <w:t>sical inspections, operational and</w:t>
            </w:r>
            <w:r w:rsidRPr="00C502FA">
              <w:rPr>
                <w:bCs/>
                <w:color w:val="auto"/>
                <w:sz w:val="16"/>
                <w:szCs w:val="16"/>
              </w:rPr>
              <w:t xml:space="preserve"> compliance programs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F02C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2. Failure to disc</w:t>
            </w:r>
            <w:r>
              <w:rPr>
                <w:bCs/>
                <w:color w:val="auto"/>
                <w:sz w:val="16"/>
                <w:szCs w:val="16"/>
              </w:rPr>
              <w:t xml:space="preserve">lose the receipt of any benefit or </w:t>
            </w:r>
            <w:r w:rsidRPr="00C502FA">
              <w:rPr>
                <w:bCs/>
                <w:color w:val="auto"/>
                <w:sz w:val="16"/>
                <w:szCs w:val="16"/>
              </w:rPr>
              <w:t>compensation for using service providers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F02D" w14:textId="77777777" w:rsidR="007B671C" w:rsidRPr="00C502FA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C502FA">
              <w:rPr>
                <w:bCs/>
                <w:color w:val="auto"/>
                <w:sz w:val="16"/>
                <w:szCs w:val="16"/>
              </w:rPr>
              <w:t>3. Failure to prevent the firm or any employees from receiving gifts/business entertainment, travel, lodging that may influence the use of specific service providers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2E" w14:textId="77777777" w:rsidR="007B671C" w:rsidRPr="00C502FA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2F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30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31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32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33" w14:textId="77777777" w:rsidR="007B671C" w:rsidRPr="00C502FA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34" w14:textId="77777777" w:rsidR="007B671C" w:rsidRPr="00C502FA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44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36" w14:textId="77777777" w:rsidR="007B671C" w:rsidRPr="00E4220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E4220E">
              <w:rPr>
                <w:bCs/>
                <w:color w:val="auto"/>
                <w:sz w:val="16"/>
                <w:szCs w:val="16"/>
              </w:rPr>
              <w:t>5</w:t>
            </w:r>
            <w:r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348" w:type="dxa"/>
            <w:gridSpan w:val="2"/>
          </w:tcPr>
          <w:p w14:paraId="0700F037" w14:textId="77777777" w:rsidR="007B671C" w:rsidRPr="00E4220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4220E">
              <w:rPr>
                <w:bCs/>
                <w:color w:val="auto"/>
                <w:sz w:val="16"/>
                <w:szCs w:val="16"/>
              </w:rPr>
              <w:t>Shareholder Notification Procedures of Change in Investment Policy</w:t>
            </w:r>
          </w:p>
        </w:tc>
        <w:tc>
          <w:tcPr>
            <w:tcW w:w="1576" w:type="dxa"/>
            <w:gridSpan w:val="2"/>
          </w:tcPr>
          <w:p w14:paraId="0700F038" w14:textId="77777777" w:rsidR="007B671C" w:rsidRPr="00E4220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4220E">
              <w:rPr>
                <w:bCs/>
                <w:color w:val="auto"/>
                <w:sz w:val="16"/>
                <w:szCs w:val="16"/>
              </w:rPr>
              <w:t>Rule 35d-1</w:t>
            </w:r>
            <w:r>
              <w:rPr>
                <w:bCs/>
                <w:color w:val="auto"/>
                <w:sz w:val="16"/>
                <w:szCs w:val="16"/>
              </w:rPr>
              <w:t>of ICA.</w:t>
            </w:r>
          </w:p>
          <w:p w14:paraId="0700F039" w14:textId="77777777" w:rsidR="007B671C" w:rsidRPr="00E4220E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4220E">
              <w:rPr>
                <w:color w:val="auto"/>
                <w:sz w:val="16"/>
                <w:szCs w:val="16"/>
              </w:rPr>
              <w:t>Rule 38a-1 Procedures</w:t>
            </w:r>
          </w:p>
          <w:p w14:paraId="0700F03A" w14:textId="77777777" w:rsidR="007B671C" w:rsidRPr="00E4220E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</w:p>
        </w:tc>
        <w:tc>
          <w:tcPr>
            <w:tcW w:w="2865" w:type="dxa"/>
            <w:gridSpan w:val="2"/>
          </w:tcPr>
          <w:p w14:paraId="0700F03B" w14:textId="77777777" w:rsidR="007B671C" w:rsidRPr="00E4220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4220E">
              <w:rPr>
                <w:bCs/>
                <w:color w:val="auto"/>
                <w:sz w:val="16"/>
                <w:szCs w:val="16"/>
              </w:rPr>
              <w:t>1. Failure to provide at least 60 days prior notice to shareholders of a change in a fund’s 80% investment policy</w:t>
            </w:r>
          </w:p>
          <w:p w14:paraId="0700F03C" w14:textId="77777777" w:rsidR="007B671C" w:rsidRPr="00E4220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4220E">
              <w:rPr>
                <w:bCs/>
                <w:color w:val="auto"/>
                <w:sz w:val="16"/>
                <w:szCs w:val="16"/>
              </w:rPr>
              <w:t>2. Failure to follow shareholder notification process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3D" w14:textId="77777777" w:rsidR="007B671C" w:rsidRPr="00E4220E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3E" w14:textId="77777777" w:rsidR="007B671C" w:rsidRPr="00E4220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3F" w14:textId="77777777" w:rsidR="007B671C" w:rsidRPr="00E4220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40" w14:textId="77777777" w:rsidR="007B671C" w:rsidRPr="00E4220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41" w14:textId="77777777" w:rsidR="007B671C" w:rsidRPr="00E4220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42" w14:textId="77777777" w:rsidR="007B671C" w:rsidRPr="00E4220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43" w14:textId="77777777" w:rsidR="007B671C" w:rsidRPr="00E4220E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54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45" w14:textId="77777777" w:rsidR="007B671C" w:rsidRPr="00E900F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</w:t>
            </w:r>
          </w:p>
        </w:tc>
        <w:tc>
          <w:tcPr>
            <w:tcW w:w="1348" w:type="dxa"/>
            <w:gridSpan w:val="2"/>
          </w:tcPr>
          <w:p w14:paraId="0700F046" w14:textId="77777777" w:rsidR="007B671C" w:rsidRPr="00E900F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E900FC">
              <w:rPr>
                <w:bCs/>
                <w:color w:val="auto"/>
                <w:sz w:val="16"/>
                <w:szCs w:val="16"/>
              </w:rPr>
              <w:t>Soft Dollar Practices</w:t>
            </w:r>
          </w:p>
        </w:tc>
        <w:tc>
          <w:tcPr>
            <w:tcW w:w="1576" w:type="dxa"/>
            <w:gridSpan w:val="2"/>
          </w:tcPr>
          <w:p w14:paraId="0700F047" w14:textId="77777777" w:rsidR="007B671C" w:rsidRPr="00E900F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900FC">
              <w:rPr>
                <w:color w:val="auto"/>
                <w:sz w:val="16"/>
                <w:szCs w:val="16"/>
              </w:rPr>
              <w:t>Section 28(e) of the 1934 Act.</w:t>
            </w:r>
          </w:p>
          <w:p w14:paraId="0700F048" w14:textId="77777777" w:rsidR="007B671C" w:rsidRPr="00E900F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900FC">
              <w:rPr>
                <w:color w:val="auto"/>
                <w:sz w:val="16"/>
                <w:szCs w:val="16"/>
              </w:rPr>
              <w:t>Section 206 of the AA.</w:t>
            </w:r>
          </w:p>
        </w:tc>
        <w:tc>
          <w:tcPr>
            <w:tcW w:w="2865" w:type="dxa"/>
            <w:gridSpan w:val="2"/>
          </w:tcPr>
          <w:p w14:paraId="0700F049" w14:textId="77777777" w:rsidR="007B671C" w:rsidRPr="00E900F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900FC">
              <w:rPr>
                <w:color w:val="auto"/>
                <w:sz w:val="16"/>
                <w:szCs w:val="16"/>
              </w:rPr>
              <w:t>1. Selection of brokers based on soft-dollar arrangements wi</w:t>
            </w:r>
            <w:r>
              <w:rPr>
                <w:color w:val="auto"/>
                <w:sz w:val="16"/>
                <w:szCs w:val="16"/>
              </w:rPr>
              <w:t>thout regard to best execution.</w:t>
            </w:r>
          </w:p>
          <w:p w14:paraId="0700F04A" w14:textId="77777777" w:rsidR="007B671C" w:rsidRPr="00E900F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900FC">
              <w:rPr>
                <w:color w:val="auto"/>
                <w:sz w:val="16"/>
                <w:szCs w:val="16"/>
              </w:rPr>
              <w:t>2. Mixed-use items not appropriately allocated.</w:t>
            </w:r>
          </w:p>
          <w:p w14:paraId="0700F04B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E900FC">
              <w:rPr>
                <w:color w:val="auto"/>
                <w:sz w:val="16"/>
                <w:szCs w:val="16"/>
              </w:rPr>
              <w:t xml:space="preserve">3. Research and/or sources of research outside </w:t>
            </w:r>
            <w:r>
              <w:rPr>
                <w:color w:val="auto"/>
                <w:sz w:val="16"/>
                <w:szCs w:val="16"/>
              </w:rPr>
              <w:t xml:space="preserve">of </w:t>
            </w:r>
            <w:r w:rsidRPr="00E900FC">
              <w:rPr>
                <w:color w:val="auto"/>
                <w:sz w:val="16"/>
                <w:szCs w:val="16"/>
              </w:rPr>
              <w:t>safe harbor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0700F04C" w14:textId="77777777" w:rsidR="007B671C" w:rsidRPr="00E900F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 w:rsidRPr="00E900FC">
              <w:rPr>
                <w:color w:val="auto"/>
                <w:sz w:val="16"/>
                <w:szCs w:val="16"/>
              </w:rPr>
              <w:t>. Inappropriate use of research obtained with soft dollars.</w:t>
            </w:r>
          </w:p>
        </w:tc>
        <w:tc>
          <w:tcPr>
            <w:tcW w:w="2015" w:type="dxa"/>
            <w:gridSpan w:val="2"/>
          </w:tcPr>
          <w:p w14:paraId="0700F04D" w14:textId="77777777" w:rsidR="007B671C" w:rsidRPr="00E900FC" w:rsidRDefault="007B671C" w:rsidP="007B671C">
            <w:pPr>
              <w:pStyle w:val="Default"/>
              <w:tabs>
                <w:tab w:val="left" w:pos="-110"/>
                <w:tab w:val="left" w:pos="23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4E" w14:textId="77777777" w:rsidR="007B671C" w:rsidRPr="00E900F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4F" w14:textId="77777777" w:rsidR="007B671C" w:rsidRPr="00E900F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50" w14:textId="77777777" w:rsidR="007B671C" w:rsidRPr="00E900F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51" w14:textId="77777777" w:rsidR="007B671C" w:rsidRPr="00E900F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52" w14:textId="77777777" w:rsidR="007B671C" w:rsidRPr="00E900FC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53" w14:textId="77777777" w:rsidR="007B671C" w:rsidRPr="00E900FC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63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55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348" w:type="dxa"/>
            <w:gridSpan w:val="2"/>
          </w:tcPr>
          <w:p w14:paraId="0700F056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Solicitors</w:t>
            </w:r>
          </w:p>
        </w:tc>
        <w:tc>
          <w:tcPr>
            <w:tcW w:w="1576" w:type="dxa"/>
            <w:gridSpan w:val="2"/>
          </w:tcPr>
          <w:p w14:paraId="0700F057" w14:textId="77777777" w:rsidR="007B671C" w:rsidRPr="00397BF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bookmarkStart w:id="9" w:name="17:3.0.1.1.23.0.147.32"/>
            <w:r w:rsidRPr="00397BF0">
              <w:rPr>
                <w:color w:val="auto"/>
                <w:sz w:val="16"/>
                <w:szCs w:val="16"/>
              </w:rPr>
              <w:t>Section 206(4)-3</w:t>
            </w:r>
            <w:r>
              <w:rPr>
                <w:color w:val="auto"/>
                <w:sz w:val="16"/>
                <w:szCs w:val="16"/>
              </w:rPr>
              <w:t xml:space="preserve"> of the AA.</w:t>
            </w:r>
          </w:p>
          <w:p w14:paraId="0700F058" w14:textId="77777777" w:rsidR="007B671C" w:rsidRPr="00397BF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397BF0">
              <w:rPr>
                <w:color w:val="auto"/>
                <w:sz w:val="16"/>
                <w:szCs w:val="16"/>
              </w:rPr>
              <w:t>Payments for client solicitations</w:t>
            </w:r>
            <w:bookmarkEnd w:id="9"/>
          </w:p>
        </w:tc>
        <w:tc>
          <w:tcPr>
            <w:tcW w:w="2865" w:type="dxa"/>
            <w:gridSpan w:val="2"/>
          </w:tcPr>
          <w:p w14:paraId="0700F059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1. Failure to provide disclosure as required and follow conditions</w:t>
            </w:r>
            <w:r>
              <w:rPr>
                <w:bCs/>
                <w:color w:val="auto"/>
                <w:sz w:val="16"/>
                <w:szCs w:val="16"/>
              </w:rPr>
              <w:t xml:space="preserve"> of Solicitation Rule.</w:t>
            </w:r>
          </w:p>
          <w:p w14:paraId="0700F05A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2. Failure to disclose all payments/reimbursements to solicitors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F05B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3. Failure to disclose in ADV.</w:t>
            </w:r>
          </w:p>
        </w:tc>
        <w:tc>
          <w:tcPr>
            <w:tcW w:w="2015" w:type="dxa"/>
            <w:gridSpan w:val="2"/>
          </w:tcPr>
          <w:p w14:paraId="0700F05C" w14:textId="77777777" w:rsidR="007B671C" w:rsidRPr="00397BF0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5D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5E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5F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60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61" w14:textId="77777777" w:rsidR="007B671C" w:rsidRPr="00397BF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62" w14:textId="77777777" w:rsidR="007B671C" w:rsidRPr="00397BF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6F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64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2"/>
          </w:tcPr>
          <w:p w14:paraId="0700F065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 xml:space="preserve">Sub-Administrator Oversight </w:t>
            </w:r>
          </w:p>
        </w:tc>
        <w:tc>
          <w:tcPr>
            <w:tcW w:w="1576" w:type="dxa"/>
            <w:gridSpan w:val="2"/>
          </w:tcPr>
          <w:p w14:paraId="0700F066" w14:textId="77777777" w:rsidR="007B671C" w:rsidRPr="00397BF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397BF0">
              <w:rPr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F067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Failure to supervise/oversee</w:t>
            </w:r>
            <w:r>
              <w:rPr>
                <w:bCs/>
                <w:color w:val="auto"/>
                <w:sz w:val="16"/>
                <w:szCs w:val="16"/>
              </w:rPr>
              <w:t xml:space="preserve"> activities of the funds’ sub-</w:t>
            </w:r>
            <w:r w:rsidRPr="00397BF0">
              <w:rPr>
                <w:bCs/>
                <w:color w:val="auto"/>
                <w:sz w:val="16"/>
                <w:szCs w:val="16"/>
              </w:rPr>
              <w:t>administrator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68" w14:textId="77777777" w:rsidR="007B671C" w:rsidRPr="00397BF0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69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6A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6B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6C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6D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6E" w14:textId="77777777" w:rsidR="007B671C" w:rsidRPr="00397BF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7C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70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</w:tcPr>
          <w:p w14:paraId="0700F071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Sub-Advisor Oversight</w:t>
            </w:r>
          </w:p>
        </w:tc>
        <w:tc>
          <w:tcPr>
            <w:tcW w:w="1576" w:type="dxa"/>
            <w:gridSpan w:val="2"/>
          </w:tcPr>
          <w:p w14:paraId="0700F072" w14:textId="77777777" w:rsidR="007B671C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397BF0">
              <w:rPr>
                <w:color w:val="auto"/>
                <w:sz w:val="16"/>
                <w:szCs w:val="16"/>
              </w:rPr>
              <w:t>Rule 206(4)-4 Procedures</w:t>
            </w:r>
          </w:p>
          <w:p w14:paraId="0700F073" w14:textId="77777777" w:rsidR="007B671C" w:rsidRPr="00397BF0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38a-1 Procedures.</w:t>
            </w:r>
          </w:p>
        </w:tc>
        <w:tc>
          <w:tcPr>
            <w:tcW w:w="2865" w:type="dxa"/>
            <w:gridSpan w:val="2"/>
          </w:tcPr>
          <w:p w14:paraId="0700F074" w14:textId="77777777" w:rsidR="007B671C" w:rsidRPr="00397BF0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397BF0">
              <w:rPr>
                <w:bCs/>
                <w:color w:val="auto"/>
                <w:sz w:val="16"/>
                <w:szCs w:val="16"/>
              </w:rPr>
              <w:t>Failure to supervise/oversee sub advisor activities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75" w14:textId="77777777" w:rsidR="007B671C" w:rsidRPr="00397BF0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76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77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78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79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7A" w14:textId="77777777" w:rsidR="007B671C" w:rsidRPr="00397BF0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7B" w14:textId="77777777" w:rsidR="007B671C" w:rsidRPr="00397BF0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8B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7D" w14:textId="77777777" w:rsidR="007B671C" w:rsidRPr="00B9088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90881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348" w:type="dxa"/>
            <w:gridSpan w:val="2"/>
          </w:tcPr>
          <w:p w14:paraId="0700F07E" w14:textId="77777777" w:rsidR="007B671C" w:rsidRPr="00B9088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P</w:t>
            </w:r>
            <w:r w:rsidRPr="00B90881">
              <w:rPr>
                <w:bCs/>
                <w:color w:val="auto"/>
                <w:sz w:val="16"/>
                <w:szCs w:val="16"/>
              </w:rPr>
              <w:t>ayments</w:t>
            </w:r>
            <w:r>
              <w:rPr>
                <w:bCs/>
                <w:color w:val="auto"/>
                <w:sz w:val="16"/>
                <w:szCs w:val="16"/>
              </w:rPr>
              <w:t xml:space="preserve"> to third parties – rev share, shareholder servicing, sub-TA, etc.</w:t>
            </w:r>
          </w:p>
        </w:tc>
        <w:tc>
          <w:tcPr>
            <w:tcW w:w="1576" w:type="dxa"/>
            <w:gridSpan w:val="2"/>
          </w:tcPr>
          <w:p w14:paraId="0700F07F" w14:textId="77777777" w:rsidR="007B671C" w:rsidRPr="00B9088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0881">
              <w:rPr>
                <w:bCs/>
                <w:color w:val="auto"/>
                <w:sz w:val="16"/>
                <w:szCs w:val="16"/>
              </w:rPr>
              <w:t>Rule 38a-1 Procedures</w:t>
            </w:r>
          </w:p>
          <w:p w14:paraId="0700F080" w14:textId="77777777" w:rsidR="007B671C" w:rsidRPr="00B90881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B90881">
              <w:rPr>
                <w:bCs/>
                <w:color w:val="auto"/>
                <w:sz w:val="16"/>
                <w:szCs w:val="16"/>
              </w:rPr>
              <w:t>FINRA</w:t>
            </w:r>
          </w:p>
        </w:tc>
        <w:tc>
          <w:tcPr>
            <w:tcW w:w="2865" w:type="dxa"/>
            <w:gridSpan w:val="2"/>
          </w:tcPr>
          <w:p w14:paraId="0700F081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0881">
              <w:rPr>
                <w:bCs/>
                <w:color w:val="auto"/>
                <w:sz w:val="16"/>
                <w:szCs w:val="16"/>
              </w:rPr>
              <w:t>1.</w:t>
            </w: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B90881">
              <w:rPr>
                <w:bCs/>
                <w:color w:val="auto"/>
                <w:sz w:val="16"/>
                <w:szCs w:val="16"/>
              </w:rPr>
              <w:t>Failure to disclose com</w:t>
            </w:r>
            <w:r>
              <w:rPr>
                <w:bCs/>
                <w:color w:val="auto"/>
                <w:sz w:val="16"/>
                <w:szCs w:val="16"/>
              </w:rPr>
              <w:t>pensation to/from other parties in prospectuses.</w:t>
            </w:r>
          </w:p>
          <w:p w14:paraId="0700F082" w14:textId="77777777" w:rsidR="007B671C" w:rsidRPr="00B9088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2. Failure to disclose payments to fund board.</w:t>
            </w:r>
          </w:p>
          <w:p w14:paraId="0700F083" w14:textId="77777777" w:rsidR="007B671C" w:rsidRPr="00B90881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3</w:t>
            </w:r>
            <w:r w:rsidRPr="00B90881">
              <w:rPr>
                <w:bCs/>
                <w:color w:val="auto"/>
                <w:sz w:val="16"/>
                <w:szCs w:val="16"/>
              </w:rPr>
              <w:t>. Failure to identify and manage actual or potential conflicts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84" w14:textId="77777777" w:rsidR="007B671C" w:rsidRPr="00B90881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85" w14:textId="77777777" w:rsidR="007B671C" w:rsidRPr="00B9088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86" w14:textId="77777777" w:rsidR="007B671C" w:rsidRPr="00B9088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87" w14:textId="77777777" w:rsidR="007B671C" w:rsidRPr="00B9088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88" w14:textId="77777777" w:rsidR="007B671C" w:rsidRPr="00B9088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89" w14:textId="77777777" w:rsidR="007B671C" w:rsidRPr="00B90881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8A" w14:textId="77777777" w:rsidR="007B671C" w:rsidRPr="00B90881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97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8C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</w:tcPr>
          <w:p w14:paraId="0700F08D" w14:textId="77777777" w:rsidR="007B671C" w:rsidRPr="00B945B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 xml:space="preserve">Transfer Agent Oversight </w:t>
            </w:r>
          </w:p>
        </w:tc>
        <w:tc>
          <w:tcPr>
            <w:tcW w:w="1576" w:type="dxa"/>
            <w:gridSpan w:val="2"/>
          </w:tcPr>
          <w:p w14:paraId="0700F08E" w14:textId="77777777" w:rsidR="007B671C" w:rsidRPr="00B945B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>Rule 38a-1 Procedures</w:t>
            </w:r>
          </w:p>
        </w:tc>
        <w:tc>
          <w:tcPr>
            <w:tcW w:w="2865" w:type="dxa"/>
            <w:gridSpan w:val="2"/>
          </w:tcPr>
          <w:p w14:paraId="0700F08F" w14:textId="77777777" w:rsidR="007B671C" w:rsidRPr="00B945BE" w:rsidRDefault="007B671C" w:rsidP="007B671C">
            <w:pPr>
              <w:spacing w:after="60"/>
              <w:rPr>
                <w:sz w:val="16"/>
                <w:szCs w:val="16"/>
              </w:rPr>
            </w:pPr>
            <w:r w:rsidRPr="00B945BE">
              <w:rPr>
                <w:bCs/>
                <w:sz w:val="16"/>
                <w:szCs w:val="16"/>
              </w:rPr>
              <w:t>Failure to supervise/oversee TA activities</w:t>
            </w:r>
          </w:p>
        </w:tc>
        <w:tc>
          <w:tcPr>
            <w:tcW w:w="2015" w:type="dxa"/>
            <w:gridSpan w:val="2"/>
          </w:tcPr>
          <w:p w14:paraId="0700F090" w14:textId="77777777" w:rsidR="007B671C" w:rsidRPr="00B945BE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91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92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93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94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95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96" w14:textId="77777777" w:rsidR="007B671C" w:rsidRPr="00B945BE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D37FF2" w14:paraId="0700F0A4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98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</w:tcPr>
          <w:p w14:paraId="0700F099" w14:textId="77777777" w:rsidR="007B671C" w:rsidRPr="00B945B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>Wrap Programs</w:t>
            </w:r>
          </w:p>
        </w:tc>
        <w:tc>
          <w:tcPr>
            <w:tcW w:w="1576" w:type="dxa"/>
            <w:gridSpan w:val="2"/>
          </w:tcPr>
          <w:p w14:paraId="0700F09A" w14:textId="77777777" w:rsidR="007B671C" w:rsidRPr="00B945BE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Rule 206(4)-7 Procedures</w:t>
            </w:r>
          </w:p>
        </w:tc>
        <w:tc>
          <w:tcPr>
            <w:tcW w:w="2865" w:type="dxa"/>
            <w:gridSpan w:val="2"/>
          </w:tcPr>
          <w:p w14:paraId="0700F09B" w14:textId="77777777" w:rsidR="007B671C" w:rsidRPr="00B945B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 xml:space="preserve">1. Failure to disclose programs and how trading of securities is </w:t>
            </w:r>
            <w:proofErr w:type="gramStart"/>
            <w:r w:rsidRPr="00B945BE">
              <w:rPr>
                <w:bCs/>
                <w:color w:val="auto"/>
                <w:sz w:val="16"/>
                <w:szCs w:val="16"/>
              </w:rPr>
              <w:t>handled</w:t>
            </w:r>
            <w:proofErr w:type="gramEnd"/>
            <w:r w:rsidRPr="00B945BE">
              <w:rPr>
                <w:bCs/>
                <w:color w:val="auto"/>
                <w:sz w:val="16"/>
                <w:szCs w:val="16"/>
              </w:rPr>
              <w:t xml:space="preserve"> and fees charged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  <w:p w14:paraId="0700F09C" w14:textId="77777777" w:rsidR="007B671C" w:rsidRPr="00B945BE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B945BE">
              <w:rPr>
                <w:bCs/>
                <w:color w:val="auto"/>
                <w:sz w:val="16"/>
                <w:szCs w:val="16"/>
              </w:rPr>
              <w:t>2. Failure to follow trading procedures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9D" w14:textId="77777777" w:rsidR="007B671C" w:rsidRPr="00B945BE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9E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9F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A0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A1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A2" w14:textId="77777777" w:rsidR="007B671C" w:rsidRPr="00B945BE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A3" w14:textId="77777777" w:rsidR="007B671C" w:rsidRPr="00B945BE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F0B0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A5" w14:textId="77777777" w:rsidR="007B671C" w:rsidRPr="00686DF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86DF6">
              <w:rPr>
                <w:bCs/>
                <w:color w:val="auto"/>
                <w:sz w:val="16"/>
                <w:szCs w:val="16"/>
              </w:rPr>
              <w:t>6</w:t>
            </w:r>
            <w:r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348" w:type="dxa"/>
            <w:gridSpan w:val="2"/>
          </w:tcPr>
          <w:p w14:paraId="0700F0A6" w14:textId="77777777" w:rsidR="007B671C" w:rsidRPr="00686DF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686DF6">
              <w:rPr>
                <w:bCs/>
                <w:color w:val="auto"/>
                <w:sz w:val="16"/>
                <w:szCs w:val="16"/>
              </w:rPr>
              <w:t>Identity Theft Prevention Program</w:t>
            </w:r>
          </w:p>
        </w:tc>
        <w:tc>
          <w:tcPr>
            <w:tcW w:w="1576" w:type="dxa"/>
            <w:gridSpan w:val="2"/>
          </w:tcPr>
          <w:p w14:paraId="0700F0A7" w14:textId="77777777" w:rsidR="007B671C" w:rsidRPr="00686DF6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 w:rsidRPr="00686DF6">
              <w:rPr>
                <w:color w:val="auto"/>
                <w:sz w:val="16"/>
                <w:szCs w:val="16"/>
              </w:rPr>
              <w:t>FACT Act &amp; FCRA</w:t>
            </w:r>
          </w:p>
        </w:tc>
        <w:tc>
          <w:tcPr>
            <w:tcW w:w="2865" w:type="dxa"/>
            <w:gridSpan w:val="2"/>
          </w:tcPr>
          <w:p w14:paraId="0700F0A8" w14:textId="77777777" w:rsidR="007B671C" w:rsidRPr="00150BD9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 w:rsidRPr="00686DF6">
              <w:rPr>
                <w:bCs/>
                <w:color w:val="auto"/>
                <w:sz w:val="16"/>
                <w:szCs w:val="16"/>
              </w:rPr>
              <w:t>1. Failure to ensure that covered primary providers have implemented reasonable procedures to detect “red flags” in order to prevent and mitigate identity theft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2"/>
          </w:tcPr>
          <w:p w14:paraId="0700F0A9" w14:textId="77777777" w:rsidR="007B671C" w:rsidRPr="00150BD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AA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AB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AC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AD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AE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AF" w14:textId="77777777" w:rsidR="007B671C" w:rsidRPr="00150BD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7B671C" w:rsidRPr="00150BD9" w14:paraId="0700F0BE" w14:textId="77777777" w:rsidTr="00C90918">
        <w:trPr>
          <w:cantSplit/>
          <w:trHeight w:val="777"/>
          <w:tblHeader/>
        </w:trPr>
        <w:tc>
          <w:tcPr>
            <w:tcW w:w="435" w:type="dxa"/>
          </w:tcPr>
          <w:p w14:paraId="0700F0B1" w14:textId="77777777" w:rsidR="007B671C" w:rsidRPr="00686DF6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67</w:t>
            </w:r>
          </w:p>
        </w:tc>
        <w:tc>
          <w:tcPr>
            <w:tcW w:w="1348" w:type="dxa"/>
            <w:gridSpan w:val="2"/>
          </w:tcPr>
          <w:p w14:paraId="0700F0B2" w14:textId="77777777" w:rsidR="007B671C" w:rsidRPr="00686DF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CPO / CTA Registration Exemption</w:t>
            </w:r>
          </w:p>
        </w:tc>
        <w:tc>
          <w:tcPr>
            <w:tcW w:w="1576" w:type="dxa"/>
            <w:gridSpan w:val="2"/>
          </w:tcPr>
          <w:p w14:paraId="0700F0B3" w14:textId="77777777" w:rsidR="007B671C" w:rsidRPr="00686DF6" w:rsidRDefault="007B671C" w:rsidP="007B671C">
            <w:pPr>
              <w:pStyle w:val="Default"/>
              <w:spacing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CFTC Rules 4.5 and 4.14.</w:t>
            </w:r>
          </w:p>
        </w:tc>
        <w:tc>
          <w:tcPr>
            <w:tcW w:w="2865" w:type="dxa"/>
            <w:gridSpan w:val="2"/>
          </w:tcPr>
          <w:p w14:paraId="0700F0B4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1. Failure to qualify for registration exemption by causing clients to invest in commodities beyond de minimus limits.</w:t>
            </w:r>
          </w:p>
          <w:p w14:paraId="0700F0B5" w14:textId="77777777" w:rsidR="007B671C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2. Failure to file annual notices of exemptions.</w:t>
            </w:r>
          </w:p>
          <w:p w14:paraId="0700F0B6" w14:textId="77777777" w:rsidR="007B671C" w:rsidRPr="00686DF6" w:rsidRDefault="007B671C" w:rsidP="007B671C">
            <w:pPr>
              <w:pStyle w:val="Default"/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15" w:type="dxa"/>
            <w:gridSpan w:val="2"/>
          </w:tcPr>
          <w:p w14:paraId="0700F0B7" w14:textId="77777777" w:rsidR="007B671C" w:rsidRPr="00150BD9" w:rsidRDefault="007B671C" w:rsidP="007B671C">
            <w:pPr>
              <w:pStyle w:val="Default"/>
              <w:tabs>
                <w:tab w:val="left" w:pos="-110"/>
              </w:tabs>
              <w:spacing w:after="6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gridSpan w:val="2"/>
          </w:tcPr>
          <w:p w14:paraId="0700F0B8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14:paraId="0700F0B9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14:paraId="0700F0BA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14:paraId="0700F0BB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00F0BC" w14:textId="77777777" w:rsidR="007B671C" w:rsidRPr="00150BD9" w:rsidRDefault="007B671C" w:rsidP="007B671C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700F0BD" w14:textId="77777777" w:rsidR="007B671C" w:rsidRPr="00150BD9" w:rsidRDefault="007B671C" w:rsidP="007B671C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0700F0BF" w14:textId="77777777" w:rsidR="00667C7F" w:rsidRPr="00150BD9" w:rsidRDefault="00475536" w:rsidP="00A919BC">
      <w:pPr>
        <w:rPr>
          <w:sz w:val="18"/>
          <w:szCs w:val="18"/>
        </w:rPr>
      </w:pPr>
      <w:r w:rsidRPr="00475536">
        <w:rPr>
          <w:sz w:val="18"/>
          <w:szCs w:val="18"/>
        </w:rPr>
        <w:tab/>
      </w:r>
    </w:p>
    <w:p w14:paraId="0700F0C0" w14:textId="77777777" w:rsidR="00332D85" w:rsidRPr="00150BD9" w:rsidRDefault="00332D85" w:rsidP="00A919BC">
      <w:pPr>
        <w:rPr>
          <w:sz w:val="18"/>
          <w:szCs w:val="18"/>
        </w:rPr>
      </w:pPr>
    </w:p>
    <w:p w14:paraId="0700F0C1" w14:textId="77777777" w:rsidR="00332D85" w:rsidRPr="00150BD9" w:rsidRDefault="00332D85" w:rsidP="00A919BC">
      <w:pPr>
        <w:rPr>
          <w:sz w:val="18"/>
          <w:szCs w:val="18"/>
        </w:rPr>
      </w:pPr>
    </w:p>
    <w:sectPr w:rsidR="00332D85" w:rsidRPr="00150BD9" w:rsidSect="00690289">
      <w:footerReference w:type="even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9B04" w14:textId="77777777" w:rsidR="006F75C4" w:rsidRDefault="006F75C4">
      <w:r>
        <w:separator/>
      </w:r>
    </w:p>
  </w:endnote>
  <w:endnote w:type="continuationSeparator" w:id="0">
    <w:p w14:paraId="73B2E00C" w14:textId="77777777" w:rsidR="006F75C4" w:rsidRDefault="006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F0C6" w14:textId="77777777" w:rsidR="007B671C" w:rsidRDefault="00A4764E" w:rsidP="00247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7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0F0C7" w14:textId="77777777" w:rsidR="007B671C" w:rsidRDefault="007B671C" w:rsidP="002477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F0C8" w14:textId="77777777" w:rsidR="007B671C" w:rsidRDefault="00A4764E" w:rsidP="00247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5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00F0C9" w14:textId="77777777" w:rsidR="007B671C" w:rsidRPr="00E264B3" w:rsidRDefault="007B671C" w:rsidP="0024779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FB74" w14:textId="77777777" w:rsidR="006F75C4" w:rsidRDefault="006F75C4">
      <w:r>
        <w:separator/>
      </w:r>
    </w:p>
  </w:footnote>
  <w:footnote w:type="continuationSeparator" w:id="0">
    <w:p w14:paraId="2B0E238E" w14:textId="77777777" w:rsidR="006F75C4" w:rsidRDefault="006F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807"/>
    <w:multiLevelType w:val="hybridMultilevel"/>
    <w:tmpl w:val="0352A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D49AC"/>
    <w:multiLevelType w:val="hybridMultilevel"/>
    <w:tmpl w:val="B8144C02"/>
    <w:lvl w:ilvl="0" w:tplc="67488AA8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2" w15:restartNumberingAfterBreak="0">
    <w:nsid w:val="0221610D"/>
    <w:multiLevelType w:val="hybridMultilevel"/>
    <w:tmpl w:val="DE865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01DC9"/>
    <w:multiLevelType w:val="multilevel"/>
    <w:tmpl w:val="DFF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B291B"/>
    <w:multiLevelType w:val="hybridMultilevel"/>
    <w:tmpl w:val="2C66D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B5124"/>
    <w:multiLevelType w:val="hybridMultilevel"/>
    <w:tmpl w:val="27927E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AB4996"/>
    <w:multiLevelType w:val="hybridMultilevel"/>
    <w:tmpl w:val="DACA1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A2A80"/>
    <w:multiLevelType w:val="hybridMultilevel"/>
    <w:tmpl w:val="FB6CE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67B26"/>
    <w:multiLevelType w:val="hybridMultilevel"/>
    <w:tmpl w:val="D4B48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31961"/>
    <w:multiLevelType w:val="hybridMultilevel"/>
    <w:tmpl w:val="D6AAF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7313D"/>
    <w:multiLevelType w:val="hybridMultilevel"/>
    <w:tmpl w:val="04BA9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50D02"/>
    <w:multiLevelType w:val="hybridMultilevel"/>
    <w:tmpl w:val="95F8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3621"/>
    <w:multiLevelType w:val="hybridMultilevel"/>
    <w:tmpl w:val="812CD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47197"/>
    <w:multiLevelType w:val="hybridMultilevel"/>
    <w:tmpl w:val="74E01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B6B8F"/>
    <w:multiLevelType w:val="multilevel"/>
    <w:tmpl w:val="39A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C4840"/>
    <w:multiLevelType w:val="hybridMultilevel"/>
    <w:tmpl w:val="E8BAE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31704"/>
    <w:multiLevelType w:val="hybridMultilevel"/>
    <w:tmpl w:val="7E14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F6E9C"/>
    <w:multiLevelType w:val="hybridMultilevel"/>
    <w:tmpl w:val="E6A2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B7174"/>
    <w:multiLevelType w:val="hybridMultilevel"/>
    <w:tmpl w:val="1E34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03318"/>
    <w:multiLevelType w:val="hybridMultilevel"/>
    <w:tmpl w:val="20A47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E67166"/>
    <w:multiLevelType w:val="hybridMultilevel"/>
    <w:tmpl w:val="09882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E64DFC"/>
    <w:multiLevelType w:val="hybridMultilevel"/>
    <w:tmpl w:val="3FF4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02EE6"/>
    <w:multiLevelType w:val="hybridMultilevel"/>
    <w:tmpl w:val="6CD8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401612"/>
    <w:multiLevelType w:val="hybridMultilevel"/>
    <w:tmpl w:val="D42A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A45A6"/>
    <w:multiLevelType w:val="hybridMultilevel"/>
    <w:tmpl w:val="B7721764"/>
    <w:lvl w:ilvl="0" w:tplc="1682BE58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25" w15:restartNumberingAfterBreak="0">
    <w:nsid w:val="36F9377B"/>
    <w:multiLevelType w:val="hybridMultilevel"/>
    <w:tmpl w:val="C1C09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8361B0"/>
    <w:multiLevelType w:val="hybridMultilevel"/>
    <w:tmpl w:val="9D624DD6"/>
    <w:lvl w:ilvl="0" w:tplc="B818F28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71691"/>
    <w:multiLevelType w:val="hybridMultilevel"/>
    <w:tmpl w:val="FDD0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C6A74"/>
    <w:multiLevelType w:val="hybridMultilevel"/>
    <w:tmpl w:val="AD94A218"/>
    <w:lvl w:ilvl="0" w:tplc="548E2A3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29" w15:restartNumberingAfterBreak="0">
    <w:nsid w:val="4E6E2396"/>
    <w:multiLevelType w:val="hybridMultilevel"/>
    <w:tmpl w:val="463CE0C4"/>
    <w:lvl w:ilvl="0" w:tplc="8C8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9964FC"/>
    <w:multiLevelType w:val="hybridMultilevel"/>
    <w:tmpl w:val="DF9E4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A2C67"/>
    <w:multiLevelType w:val="hybridMultilevel"/>
    <w:tmpl w:val="1BB40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B872CB"/>
    <w:multiLevelType w:val="hybridMultilevel"/>
    <w:tmpl w:val="423C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75188"/>
    <w:multiLevelType w:val="hybridMultilevel"/>
    <w:tmpl w:val="3FD2C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CF2190"/>
    <w:multiLevelType w:val="multilevel"/>
    <w:tmpl w:val="714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51031"/>
    <w:multiLevelType w:val="hybridMultilevel"/>
    <w:tmpl w:val="510EE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CE0111"/>
    <w:multiLevelType w:val="hybridMultilevel"/>
    <w:tmpl w:val="106EA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F166CA"/>
    <w:multiLevelType w:val="multilevel"/>
    <w:tmpl w:val="49E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501988"/>
    <w:multiLevelType w:val="hybridMultilevel"/>
    <w:tmpl w:val="CAAA86F2"/>
    <w:lvl w:ilvl="0" w:tplc="DBA295B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9" w15:restartNumberingAfterBreak="0">
    <w:nsid w:val="6DC73680"/>
    <w:multiLevelType w:val="hybridMultilevel"/>
    <w:tmpl w:val="80CEF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A6700"/>
    <w:multiLevelType w:val="hybridMultilevel"/>
    <w:tmpl w:val="BA6E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E14802"/>
    <w:multiLevelType w:val="hybridMultilevel"/>
    <w:tmpl w:val="680C0E0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2" w15:restartNumberingAfterBreak="0">
    <w:nsid w:val="78732889"/>
    <w:multiLevelType w:val="hybridMultilevel"/>
    <w:tmpl w:val="51AC9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95E17"/>
    <w:multiLevelType w:val="hybridMultilevel"/>
    <w:tmpl w:val="378C5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B936CF"/>
    <w:multiLevelType w:val="hybridMultilevel"/>
    <w:tmpl w:val="1E143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11410"/>
    <w:multiLevelType w:val="multilevel"/>
    <w:tmpl w:val="FDD0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E1C6F"/>
    <w:multiLevelType w:val="hybridMultilevel"/>
    <w:tmpl w:val="1E00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40"/>
  </w:num>
  <w:num w:numId="5">
    <w:abstractNumId w:val="32"/>
  </w:num>
  <w:num w:numId="6">
    <w:abstractNumId w:val="23"/>
  </w:num>
  <w:num w:numId="7">
    <w:abstractNumId w:val="37"/>
  </w:num>
  <w:num w:numId="8">
    <w:abstractNumId w:val="29"/>
  </w:num>
  <w:num w:numId="9">
    <w:abstractNumId w:val="27"/>
  </w:num>
  <w:num w:numId="10">
    <w:abstractNumId w:val="45"/>
  </w:num>
  <w:num w:numId="11">
    <w:abstractNumId w:val="43"/>
  </w:num>
  <w:num w:numId="12">
    <w:abstractNumId w:val="39"/>
  </w:num>
  <w:num w:numId="13">
    <w:abstractNumId w:val="9"/>
  </w:num>
  <w:num w:numId="14">
    <w:abstractNumId w:val="2"/>
  </w:num>
  <w:num w:numId="15">
    <w:abstractNumId w:val="38"/>
  </w:num>
  <w:num w:numId="16">
    <w:abstractNumId w:val="28"/>
  </w:num>
  <w:num w:numId="17">
    <w:abstractNumId w:val="1"/>
  </w:num>
  <w:num w:numId="18">
    <w:abstractNumId w:val="24"/>
  </w:num>
  <w:num w:numId="19">
    <w:abstractNumId w:val="16"/>
  </w:num>
  <w:num w:numId="20">
    <w:abstractNumId w:val="30"/>
  </w:num>
  <w:num w:numId="21">
    <w:abstractNumId w:val="44"/>
  </w:num>
  <w:num w:numId="22">
    <w:abstractNumId w:val="41"/>
  </w:num>
  <w:num w:numId="23">
    <w:abstractNumId w:val="0"/>
  </w:num>
  <w:num w:numId="24">
    <w:abstractNumId w:val="21"/>
  </w:num>
  <w:num w:numId="25">
    <w:abstractNumId w:val="12"/>
  </w:num>
  <w:num w:numId="26">
    <w:abstractNumId w:val="42"/>
  </w:num>
  <w:num w:numId="27">
    <w:abstractNumId w:val="36"/>
  </w:num>
  <w:num w:numId="28">
    <w:abstractNumId w:val="7"/>
  </w:num>
  <w:num w:numId="29">
    <w:abstractNumId w:val="10"/>
  </w:num>
  <w:num w:numId="30">
    <w:abstractNumId w:val="35"/>
  </w:num>
  <w:num w:numId="31">
    <w:abstractNumId w:val="8"/>
  </w:num>
  <w:num w:numId="32">
    <w:abstractNumId w:val="13"/>
  </w:num>
  <w:num w:numId="33">
    <w:abstractNumId w:val="6"/>
  </w:num>
  <w:num w:numId="34">
    <w:abstractNumId w:val="25"/>
  </w:num>
  <w:num w:numId="35">
    <w:abstractNumId w:val="4"/>
  </w:num>
  <w:num w:numId="36">
    <w:abstractNumId w:val="5"/>
  </w:num>
  <w:num w:numId="37">
    <w:abstractNumId w:val="17"/>
  </w:num>
  <w:num w:numId="38">
    <w:abstractNumId w:val="18"/>
  </w:num>
  <w:num w:numId="39">
    <w:abstractNumId w:val="31"/>
  </w:num>
  <w:num w:numId="40">
    <w:abstractNumId w:val="33"/>
  </w:num>
  <w:num w:numId="41">
    <w:abstractNumId w:val="15"/>
  </w:num>
  <w:num w:numId="42">
    <w:abstractNumId w:val="46"/>
  </w:num>
  <w:num w:numId="43">
    <w:abstractNumId w:val="26"/>
  </w:num>
  <w:num w:numId="44">
    <w:abstractNumId w:val="19"/>
  </w:num>
  <w:num w:numId="45">
    <w:abstractNumId w:val="22"/>
  </w:num>
  <w:num w:numId="46">
    <w:abstractNumId w:val="2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7F"/>
    <w:rsid w:val="000000BD"/>
    <w:rsid w:val="000029F8"/>
    <w:rsid w:val="00002BBD"/>
    <w:rsid w:val="00004921"/>
    <w:rsid w:val="00005A03"/>
    <w:rsid w:val="00005DB1"/>
    <w:rsid w:val="00010A7C"/>
    <w:rsid w:val="00011866"/>
    <w:rsid w:val="00013F59"/>
    <w:rsid w:val="000264F1"/>
    <w:rsid w:val="00034676"/>
    <w:rsid w:val="00034950"/>
    <w:rsid w:val="00041AD4"/>
    <w:rsid w:val="00041FA8"/>
    <w:rsid w:val="00043687"/>
    <w:rsid w:val="00043858"/>
    <w:rsid w:val="000616E3"/>
    <w:rsid w:val="00062430"/>
    <w:rsid w:val="000630F6"/>
    <w:rsid w:val="00063761"/>
    <w:rsid w:val="0006469E"/>
    <w:rsid w:val="00064838"/>
    <w:rsid w:val="00065440"/>
    <w:rsid w:val="00072FC0"/>
    <w:rsid w:val="00073C72"/>
    <w:rsid w:val="00073CC8"/>
    <w:rsid w:val="00074DAF"/>
    <w:rsid w:val="00075B11"/>
    <w:rsid w:val="00077A51"/>
    <w:rsid w:val="00077DCD"/>
    <w:rsid w:val="00082A2E"/>
    <w:rsid w:val="000839CD"/>
    <w:rsid w:val="000846D4"/>
    <w:rsid w:val="000867B5"/>
    <w:rsid w:val="000868AB"/>
    <w:rsid w:val="000936D6"/>
    <w:rsid w:val="00097CCB"/>
    <w:rsid w:val="000A03D3"/>
    <w:rsid w:val="000A2B5C"/>
    <w:rsid w:val="000A5B9E"/>
    <w:rsid w:val="000B5149"/>
    <w:rsid w:val="000B6ACF"/>
    <w:rsid w:val="000C05BD"/>
    <w:rsid w:val="000C0D2C"/>
    <w:rsid w:val="000C0F25"/>
    <w:rsid w:val="000C1FF4"/>
    <w:rsid w:val="000C4437"/>
    <w:rsid w:val="000C4C44"/>
    <w:rsid w:val="000C5056"/>
    <w:rsid w:val="000C5A76"/>
    <w:rsid w:val="000C5EAA"/>
    <w:rsid w:val="000C7405"/>
    <w:rsid w:val="000C797F"/>
    <w:rsid w:val="000D2E10"/>
    <w:rsid w:val="000D3AFC"/>
    <w:rsid w:val="000D3B35"/>
    <w:rsid w:val="000D3CF0"/>
    <w:rsid w:val="000D4DAB"/>
    <w:rsid w:val="000D4EB6"/>
    <w:rsid w:val="000D5570"/>
    <w:rsid w:val="000D714A"/>
    <w:rsid w:val="000D7C21"/>
    <w:rsid w:val="000D7C2D"/>
    <w:rsid w:val="000E1496"/>
    <w:rsid w:val="000E36A5"/>
    <w:rsid w:val="000E5B1B"/>
    <w:rsid w:val="000E6280"/>
    <w:rsid w:val="000E7F84"/>
    <w:rsid w:val="000F299A"/>
    <w:rsid w:val="000F2A15"/>
    <w:rsid w:val="000F3C12"/>
    <w:rsid w:val="000F3F14"/>
    <w:rsid w:val="000F5142"/>
    <w:rsid w:val="000F6AD9"/>
    <w:rsid w:val="001042DC"/>
    <w:rsid w:val="00104353"/>
    <w:rsid w:val="00105B44"/>
    <w:rsid w:val="001061F0"/>
    <w:rsid w:val="00107BAC"/>
    <w:rsid w:val="0011225F"/>
    <w:rsid w:val="00113232"/>
    <w:rsid w:val="00114EDB"/>
    <w:rsid w:val="00120751"/>
    <w:rsid w:val="00122C9B"/>
    <w:rsid w:val="001235B2"/>
    <w:rsid w:val="00123873"/>
    <w:rsid w:val="00123EF2"/>
    <w:rsid w:val="00126E98"/>
    <w:rsid w:val="0013399D"/>
    <w:rsid w:val="00134119"/>
    <w:rsid w:val="001352FE"/>
    <w:rsid w:val="00142479"/>
    <w:rsid w:val="00145C5E"/>
    <w:rsid w:val="00150BD9"/>
    <w:rsid w:val="00153EA9"/>
    <w:rsid w:val="00155DB2"/>
    <w:rsid w:val="001571EC"/>
    <w:rsid w:val="00163B94"/>
    <w:rsid w:val="00163FBC"/>
    <w:rsid w:val="0016416C"/>
    <w:rsid w:val="00175213"/>
    <w:rsid w:val="00176273"/>
    <w:rsid w:val="00180682"/>
    <w:rsid w:val="00181E42"/>
    <w:rsid w:val="001855AB"/>
    <w:rsid w:val="00185A9E"/>
    <w:rsid w:val="001874B7"/>
    <w:rsid w:val="0019199D"/>
    <w:rsid w:val="001963C7"/>
    <w:rsid w:val="001974C8"/>
    <w:rsid w:val="001A3BE2"/>
    <w:rsid w:val="001A3F1E"/>
    <w:rsid w:val="001A677A"/>
    <w:rsid w:val="001A6CA2"/>
    <w:rsid w:val="001B2783"/>
    <w:rsid w:val="001B3281"/>
    <w:rsid w:val="001B3889"/>
    <w:rsid w:val="001B5008"/>
    <w:rsid w:val="001B6F2E"/>
    <w:rsid w:val="001B7BE3"/>
    <w:rsid w:val="001C0548"/>
    <w:rsid w:val="001C1487"/>
    <w:rsid w:val="001C2556"/>
    <w:rsid w:val="001C3C62"/>
    <w:rsid w:val="001C4061"/>
    <w:rsid w:val="001C7272"/>
    <w:rsid w:val="001C7711"/>
    <w:rsid w:val="001D01A2"/>
    <w:rsid w:val="001D20E4"/>
    <w:rsid w:val="001D398E"/>
    <w:rsid w:val="001D4A74"/>
    <w:rsid w:val="001D4CE1"/>
    <w:rsid w:val="001D4FEF"/>
    <w:rsid w:val="001D751E"/>
    <w:rsid w:val="001E4132"/>
    <w:rsid w:val="001E49D5"/>
    <w:rsid w:val="001E4E37"/>
    <w:rsid w:val="001E6557"/>
    <w:rsid w:val="001E7E64"/>
    <w:rsid w:val="001F2E8C"/>
    <w:rsid w:val="00212B37"/>
    <w:rsid w:val="00214769"/>
    <w:rsid w:val="00221265"/>
    <w:rsid w:val="00222943"/>
    <w:rsid w:val="002239EB"/>
    <w:rsid w:val="00226832"/>
    <w:rsid w:val="0023069F"/>
    <w:rsid w:val="00240AED"/>
    <w:rsid w:val="00240CC2"/>
    <w:rsid w:val="002412B7"/>
    <w:rsid w:val="0024326D"/>
    <w:rsid w:val="002444D1"/>
    <w:rsid w:val="00245B93"/>
    <w:rsid w:val="00247799"/>
    <w:rsid w:val="00251A04"/>
    <w:rsid w:val="0025349A"/>
    <w:rsid w:val="00254E84"/>
    <w:rsid w:val="002609E3"/>
    <w:rsid w:val="00261AFA"/>
    <w:rsid w:val="00261E46"/>
    <w:rsid w:val="00262239"/>
    <w:rsid w:val="002630EB"/>
    <w:rsid w:val="002716A5"/>
    <w:rsid w:val="00277D65"/>
    <w:rsid w:val="00281D63"/>
    <w:rsid w:val="002823EB"/>
    <w:rsid w:val="002874ED"/>
    <w:rsid w:val="00290538"/>
    <w:rsid w:val="00291785"/>
    <w:rsid w:val="00293214"/>
    <w:rsid w:val="002A0652"/>
    <w:rsid w:val="002A447E"/>
    <w:rsid w:val="002A46BA"/>
    <w:rsid w:val="002B0DC2"/>
    <w:rsid w:val="002B1C2F"/>
    <w:rsid w:val="002B21B2"/>
    <w:rsid w:val="002B42E8"/>
    <w:rsid w:val="002B4F51"/>
    <w:rsid w:val="002B5854"/>
    <w:rsid w:val="002C10C8"/>
    <w:rsid w:val="002C11E4"/>
    <w:rsid w:val="002C42F1"/>
    <w:rsid w:val="002C5018"/>
    <w:rsid w:val="002C507C"/>
    <w:rsid w:val="002C7ED5"/>
    <w:rsid w:val="002D2DF1"/>
    <w:rsid w:val="002D5523"/>
    <w:rsid w:val="002D7F50"/>
    <w:rsid w:val="002E01ED"/>
    <w:rsid w:val="002E0ED6"/>
    <w:rsid w:val="002E12D9"/>
    <w:rsid w:val="002F10EC"/>
    <w:rsid w:val="002F773A"/>
    <w:rsid w:val="00303626"/>
    <w:rsid w:val="00310563"/>
    <w:rsid w:val="00311C9B"/>
    <w:rsid w:val="003137DF"/>
    <w:rsid w:val="003142BD"/>
    <w:rsid w:val="00315FA7"/>
    <w:rsid w:val="00316FD3"/>
    <w:rsid w:val="00317152"/>
    <w:rsid w:val="00317346"/>
    <w:rsid w:val="00321864"/>
    <w:rsid w:val="003247DF"/>
    <w:rsid w:val="0032568D"/>
    <w:rsid w:val="003259A8"/>
    <w:rsid w:val="00327A23"/>
    <w:rsid w:val="00332D85"/>
    <w:rsid w:val="00334C4A"/>
    <w:rsid w:val="00336CBE"/>
    <w:rsid w:val="003425A6"/>
    <w:rsid w:val="00343113"/>
    <w:rsid w:val="00343F0C"/>
    <w:rsid w:val="003446EA"/>
    <w:rsid w:val="00347C51"/>
    <w:rsid w:val="0035109E"/>
    <w:rsid w:val="00352DD2"/>
    <w:rsid w:val="00352F05"/>
    <w:rsid w:val="00353AAF"/>
    <w:rsid w:val="00354DAC"/>
    <w:rsid w:val="00360880"/>
    <w:rsid w:val="00361A31"/>
    <w:rsid w:val="00361A41"/>
    <w:rsid w:val="00363348"/>
    <w:rsid w:val="00363B19"/>
    <w:rsid w:val="00364366"/>
    <w:rsid w:val="0036777D"/>
    <w:rsid w:val="00373B70"/>
    <w:rsid w:val="00382DD4"/>
    <w:rsid w:val="00383679"/>
    <w:rsid w:val="003869FE"/>
    <w:rsid w:val="0039252F"/>
    <w:rsid w:val="00392C12"/>
    <w:rsid w:val="003931E1"/>
    <w:rsid w:val="00393CA2"/>
    <w:rsid w:val="003948F5"/>
    <w:rsid w:val="00396028"/>
    <w:rsid w:val="00396682"/>
    <w:rsid w:val="00397BF0"/>
    <w:rsid w:val="003A205A"/>
    <w:rsid w:val="003A2A7D"/>
    <w:rsid w:val="003A4004"/>
    <w:rsid w:val="003A4863"/>
    <w:rsid w:val="003A71D1"/>
    <w:rsid w:val="003A7E63"/>
    <w:rsid w:val="003B1991"/>
    <w:rsid w:val="003B1DC1"/>
    <w:rsid w:val="003C0DE7"/>
    <w:rsid w:val="003C1BC8"/>
    <w:rsid w:val="003C22CE"/>
    <w:rsid w:val="003C76F1"/>
    <w:rsid w:val="003D0022"/>
    <w:rsid w:val="003D4FA8"/>
    <w:rsid w:val="003D53E6"/>
    <w:rsid w:val="003D683C"/>
    <w:rsid w:val="003D696B"/>
    <w:rsid w:val="003D77DA"/>
    <w:rsid w:val="003E00D4"/>
    <w:rsid w:val="003E1CC8"/>
    <w:rsid w:val="003E2053"/>
    <w:rsid w:val="003E2819"/>
    <w:rsid w:val="003E348E"/>
    <w:rsid w:val="003E53F0"/>
    <w:rsid w:val="003F3F66"/>
    <w:rsid w:val="003F48C3"/>
    <w:rsid w:val="003F5AD5"/>
    <w:rsid w:val="00404A6B"/>
    <w:rsid w:val="00404FBD"/>
    <w:rsid w:val="004067C4"/>
    <w:rsid w:val="00406A76"/>
    <w:rsid w:val="00411BC6"/>
    <w:rsid w:val="0041279E"/>
    <w:rsid w:val="0041559B"/>
    <w:rsid w:val="00416FA1"/>
    <w:rsid w:val="00417D4F"/>
    <w:rsid w:val="0042059E"/>
    <w:rsid w:val="00420B08"/>
    <w:rsid w:val="00424884"/>
    <w:rsid w:val="0042659C"/>
    <w:rsid w:val="00427638"/>
    <w:rsid w:val="00430477"/>
    <w:rsid w:val="0043064C"/>
    <w:rsid w:val="00431907"/>
    <w:rsid w:val="00435DD8"/>
    <w:rsid w:val="00437AAD"/>
    <w:rsid w:val="00444F51"/>
    <w:rsid w:val="00453C43"/>
    <w:rsid w:val="004543D0"/>
    <w:rsid w:val="00457201"/>
    <w:rsid w:val="00457596"/>
    <w:rsid w:val="00457C8B"/>
    <w:rsid w:val="00457DEC"/>
    <w:rsid w:val="00460007"/>
    <w:rsid w:val="00461F79"/>
    <w:rsid w:val="004625C8"/>
    <w:rsid w:val="00463B21"/>
    <w:rsid w:val="00464BF9"/>
    <w:rsid w:val="00465B46"/>
    <w:rsid w:val="00472212"/>
    <w:rsid w:val="00475536"/>
    <w:rsid w:val="0047587E"/>
    <w:rsid w:val="00477B8A"/>
    <w:rsid w:val="004812F1"/>
    <w:rsid w:val="00481DC9"/>
    <w:rsid w:val="00482DD0"/>
    <w:rsid w:val="00484354"/>
    <w:rsid w:val="00484E3F"/>
    <w:rsid w:val="00486101"/>
    <w:rsid w:val="004864FC"/>
    <w:rsid w:val="004867AC"/>
    <w:rsid w:val="004907DC"/>
    <w:rsid w:val="00490E81"/>
    <w:rsid w:val="00495ABF"/>
    <w:rsid w:val="00495E6C"/>
    <w:rsid w:val="0049622A"/>
    <w:rsid w:val="004A0909"/>
    <w:rsid w:val="004A299F"/>
    <w:rsid w:val="004A38A7"/>
    <w:rsid w:val="004A3C67"/>
    <w:rsid w:val="004A60F0"/>
    <w:rsid w:val="004A68CD"/>
    <w:rsid w:val="004B0AD7"/>
    <w:rsid w:val="004B1895"/>
    <w:rsid w:val="004B1B1A"/>
    <w:rsid w:val="004B63E3"/>
    <w:rsid w:val="004B7703"/>
    <w:rsid w:val="004C0C5C"/>
    <w:rsid w:val="004C2CEC"/>
    <w:rsid w:val="004D3337"/>
    <w:rsid w:val="004D4D07"/>
    <w:rsid w:val="004D5D25"/>
    <w:rsid w:val="004D757C"/>
    <w:rsid w:val="004E1622"/>
    <w:rsid w:val="004E1DFB"/>
    <w:rsid w:val="004E5E2E"/>
    <w:rsid w:val="004E5F73"/>
    <w:rsid w:val="004F2899"/>
    <w:rsid w:val="004F7FC4"/>
    <w:rsid w:val="0050157C"/>
    <w:rsid w:val="00505C3A"/>
    <w:rsid w:val="005060CC"/>
    <w:rsid w:val="005061A6"/>
    <w:rsid w:val="00510E59"/>
    <w:rsid w:val="005124EE"/>
    <w:rsid w:val="005135A1"/>
    <w:rsid w:val="005139CF"/>
    <w:rsid w:val="00514350"/>
    <w:rsid w:val="00515A94"/>
    <w:rsid w:val="0051677E"/>
    <w:rsid w:val="00516E88"/>
    <w:rsid w:val="0052065E"/>
    <w:rsid w:val="00527561"/>
    <w:rsid w:val="00530685"/>
    <w:rsid w:val="00530988"/>
    <w:rsid w:val="00536FB3"/>
    <w:rsid w:val="0053794C"/>
    <w:rsid w:val="00537CD1"/>
    <w:rsid w:val="0054628A"/>
    <w:rsid w:val="0054638D"/>
    <w:rsid w:val="00552B60"/>
    <w:rsid w:val="00553815"/>
    <w:rsid w:val="005566DD"/>
    <w:rsid w:val="00563BAC"/>
    <w:rsid w:val="005750EF"/>
    <w:rsid w:val="00577131"/>
    <w:rsid w:val="00581532"/>
    <w:rsid w:val="00584916"/>
    <w:rsid w:val="0058541C"/>
    <w:rsid w:val="005864A3"/>
    <w:rsid w:val="0059189B"/>
    <w:rsid w:val="00596887"/>
    <w:rsid w:val="005A2B6F"/>
    <w:rsid w:val="005A3343"/>
    <w:rsid w:val="005B0482"/>
    <w:rsid w:val="005B3AAE"/>
    <w:rsid w:val="005B48B6"/>
    <w:rsid w:val="005B5028"/>
    <w:rsid w:val="005B7770"/>
    <w:rsid w:val="005C536C"/>
    <w:rsid w:val="005C6BC8"/>
    <w:rsid w:val="005C7913"/>
    <w:rsid w:val="005D139F"/>
    <w:rsid w:val="005D3E60"/>
    <w:rsid w:val="005D5797"/>
    <w:rsid w:val="005E08A5"/>
    <w:rsid w:val="005E288F"/>
    <w:rsid w:val="005E3A09"/>
    <w:rsid w:val="005E4200"/>
    <w:rsid w:val="005E5034"/>
    <w:rsid w:val="005E799D"/>
    <w:rsid w:val="005F0C59"/>
    <w:rsid w:val="005F359F"/>
    <w:rsid w:val="005F38F5"/>
    <w:rsid w:val="00603405"/>
    <w:rsid w:val="006042E5"/>
    <w:rsid w:val="00606842"/>
    <w:rsid w:val="006072FF"/>
    <w:rsid w:val="0061444F"/>
    <w:rsid w:val="00617560"/>
    <w:rsid w:val="006229EA"/>
    <w:rsid w:val="00623345"/>
    <w:rsid w:val="00625651"/>
    <w:rsid w:val="00627641"/>
    <w:rsid w:val="00627AA1"/>
    <w:rsid w:val="00631197"/>
    <w:rsid w:val="00634FC6"/>
    <w:rsid w:val="0063510B"/>
    <w:rsid w:val="00635BF9"/>
    <w:rsid w:val="00636D58"/>
    <w:rsid w:val="00643ADA"/>
    <w:rsid w:val="006446D2"/>
    <w:rsid w:val="00644E17"/>
    <w:rsid w:val="00646045"/>
    <w:rsid w:val="006464D3"/>
    <w:rsid w:val="00647CDE"/>
    <w:rsid w:val="00652428"/>
    <w:rsid w:val="0065242A"/>
    <w:rsid w:val="00660361"/>
    <w:rsid w:val="006627EE"/>
    <w:rsid w:val="00665D61"/>
    <w:rsid w:val="00667C7F"/>
    <w:rsid w:val="00673C2B"/>
    <w:rsid w:val="00676A83"/>
    <w:rsid w:val="00683C29"/>
    <w:rsid w:val="006845BF"/>
    <w:rsid w:val="00684C5F"/>
    <w:rsid w:val="00686DF6"/>
    <w:rsid w:val="00690289"/>
    <w:rsid w:val="0069097C"/>
    <w:rsid w:val="00697620"/>
    <w:rsid w:val="0069781B"/>
    <w:rsid w:val="006A2947"/>
    <w:rsid w:val="006A358F"/>
    <w:rsid w:val="006A36EE"/>
    <w:rsid w:val="006C09A1"/>
    <w:rsid w:val="006C1116"/>
    <w:rsid w:val="006C3825"/>
    <w:rsid w:val="006C6C95"/>
    <w:rsid w:val="006C73E8"/>
    <w:rsid w:val="006D0F7C"/>
    <w:rsid w:val="006D16F4"/>
    <w:rsid w:val="006D5E5A"/>
    <w:rsid w:val="006E16BF"/>
    <w:rsid w:val="006E499A"/>
    <w:rsid w:val="006E538F"/>
    <w:rsid w:val="006F0CE0"/>
    <w:rsid w:val="006F1470"/>
    <w:rsid w:val="006F2477"/>
    <w:rsid w:val="006F2D70"/>
    <w:rsid w:val="006F75C4"/>
    <w:rsid w:val="006F77EB"/>
    <w:rsid w:val="006F7C02"/>
    <w:rsid w:val="00701961"/>
    <w:rsid w:val="00703325"/>
    <w:rsid w:val="00707DB2"/>
    <w:rsid w:val="00711609"/>
    <w:rsid w:val="00711789"/>
    <w:rsid w:val="00715379"/>
    <w:rsid w:val="007162E8"/>
    <w:rsid w:val="00720235"/>
    <w:rsid w:val="00727C89"/>
    <w:rsid w:val="00730B0D"/>
    <w:rsid w:val="00737486"/>
    <w:rsid w:val="00740FFC"/>
    <w:rsid w:val="0074733A"/>
    <w:rsid w:val="0075338A"/>
    <w:rsid w:val="0075524D"/>
    <w:rsid w:val="007639DF"/>
    <w:rsid w:val="00764120"/>
    <w:rsid w:val="007648E8"/>
    <w:rsid w:val="00764944"/>
    <w:rsid w:val="007658AA"/>
    <w:rsid w:val="00766C1B"/>
    <w:rsid w:val="00770BC9"/>
    <w:rsid w:val="00770BF5"/>
    <w:rsid w:val="0077150D"/>
    <w:rsid w:val="00773269"/>
    <w:rsid w:val="00776F0C"/>
    <w:rsid w:val="0078187D"/>
    <w:rsid w:val="00785284"/>
    <w:rsid w:val="00785A61"/>
    <w:rsid w:val="0078738D"/>
    <w:rsid w:val="00787711"/>
    <w:rsid w:val="00787AA7"/>
    <w:rsid w:val="00787DAB"/>
    <w:rsid w:val="00787ED0"/>
    <w:rsid w:val="00794489"/>
    <w:rsid w:val="007A0570"/>
    <w:rsid w:val="007A1246"/>
    <w:rsid w:val="007B063E"/>
    <w:rsid w:val="007B1A13"/>
    <w:rsid w:val="007B3471"/>
    <w:rsid w:val="007B349D"/>
    <w:rsid w:val="007B3BF5"/>
    <w:rsid w:val="007B44B9"/>
    <w:rsid w:val="007B671C"/>
    <w:rsid w:val="007C02DA"/>
    <w:rsid w:val="007C41BD"/>
    <w:rsid w:val="007D557B"/>
    <w:rsid w:val="007D728B"/>
    <w:rsid w:val="007D7569"/>
    <w:rsid w:val="007E1A9E"/>
    <w:rsid w:val="007E22A8"/>
    <w:rsid w:val="007E2F98"/>
    <w:rsid w:val="007E37D6"/>
    <w:rsid w:val="007F2C56"/>
    <w:rsid w:val="007F326C"/>
    <w:rsid w:val="007F7DD9"/>
    <w:rsid w:val="00801160"/>
    <w:rsid w:val="00802BD0"/>
    <w:rsid w:val="00805ADF"/>
    <w:rsid w:val="00806842"/>
    <w:rsid w:val="00811EEF"/>
    <w:rsid w:val="00812B96"/>
    <w:rsid w:val="00813B19"/>
    <w:rsid w:val="00813FBE"/>
    <w:rsid w:val="0081425F"/>
    <w:rsid w:val="008207E5"/>
    <w:rsid w:val="00822B19"/>
    <w:rsid w:val="00822E02"/>
    <w:rsid w:val="00826FB2"/>
    <w:rsid w:val="00835C40"/>
    <w:rsid w:val="0083631C"/>
    <w:rsid w:val="00837A50"/>
    <w:rsid w:val="00841712"/>
    <w:rsid w:val="00841B84"/>
    <w:rsid w:val="008445C3"/>
    <w:rsid w:val="00844A1C"/>
    <w:rsid w:val="0084774C"/>
    <w:rsid w:val="008479F7"/>
    <w:rsid w:val="00851AF6"/>
    <w:rsid w:val="008525E9"/>
    <w:rsid w:val="00852C7E"/>
    <w:rsid w:val="00853652"/>
    <w:rsid w:val="0086021C"/>
    <w:rsid w:val="00860B81"/>
    <w:rsid w:val="00862CC3"/>
    <w:rsid w:val="00862D97"/>
    <w:rsid w:val="00863B88"/>
    <w:rsid w:val="00863E4C"/>
    <w:rsid w:val="00867F2C"/>
    <w:rsid w:val="00871629"/>
    <w:rsid w:val="008755AB"/>
    <w:rsid w:val="00875D20"/>
    <w:rsid w:val="008767CC"/>
    <w:rsid w:val="00881993"/>
    <w:rsid w:val="0088367E"/>
    <w:rsid w:val="00884F82"/>
    <w:rsid w:val="008A167C"/>
    <w:rsid w:val="008A2566"/>
    <w:rsid w:val="008A474D"/>
    <w:rsid w:val="008A6C08"/>
    <w:rsid w:val="008B14DD"/>
    <w:rsid w:val="008B1EA2"/>
    <w:rsid w:val="008B2A2E"/>
    <w:rsid w:val="008B3531"/>
    <w:rsid w:val="008B72DD"/>
    <w:rsid w:val="008C238A"/>
    <w:rsid w:val="008C3A37"/>
    <w:rsid w:val="008C3D8A"/>
    <w:rsid w:val="008C6839"/>
    <w:rsid w:val="008D225C"/>
    <w:rsid w:val="008D3433"/>
    <w:rsid w:val="008D6F07"/>
    <w:rsid w:val="008D7AAC"/>
    <w:rsid w:val="008E296B"/>
    <w:rsid w:val="008E3110"/>
    <w:rsid w:val="008E3FF1"/>
    <w:rsid w:val="008E60A0"/>
    <w:rsid w:val="008E6A80"/>
    <w:rsid w:val="008F406A"/>
    <w:rsid w:val="009007F0"/>
    <w:rsid w:val="00905A95"/>
    <w:rsid w:val="00912D6A"/>
    <w:rsid w:val="00915143"/>
    <w:rsid w:val="009157BA"/>
    <w:rsid w:val="00915D0C"/>
    <w:rsid w:val="009163A2"/>
    <w:rsid w:val="009207A4"/>
    <w:rsid w:val="009225F8"/>
    <w:rsid w:val="00927B09"/>
    <w:rsid w:val="00931988"/>
    <w:rsid w:val="009331FC"/>
    <w:rsid w:val="009345F2"/>
    <w:rsid w:val="00940F0B"/>
    <w:rsid w:val="00941168"/>
    <w:rsid w:val="0094381B"/>
    <w:rsid w:val="00945091"/>
    <w:rsid w:val="00946D7A"/>
    <w:rsid w:val="00950536"/>
    <w:rsid w:val="009510BB"/>
    <w:rsid w:val="00952678"/>
    <w:rsid w:val="00952ED1"/>
    <w:rsid w:val="009539A5"/>
    <w:rsid w:val="00954194"/>
    <w:rsid w:val="009541EB"/>
    <w:rsid w:val="00957D78"/>
    <w:rsid w:val="009640E5"/>
    <w:rsid w:val="00972D18"/>
    <w:rsid w:val="00974EFA"/>
    <w:rsid w:val="00981C3B"/>
    <w:rsid w:val="00983D57"/>
    <w:rsid w:val="009858E6"/>
    <w:rsid w:val="00986F07"/>
    <w:rsid w:val="00990C3E"/>
    <w:rsid w:val="00996F7F"/>
    <w:rsid w:val="0099777A"/>
    <w:rsid w:val="009A3625"/>
    <w:rsid w:val="009A4329"/>
    <w:rsid w:val="009A517B"/>
    <w:rsid w:val="009A62AE"/>
    <w:rsid w:val="009A71C4"/>
    <w:rsid w:val="009B6404"/>
    <w:rsid w:val="009B6ECB"/>
    <w:rsid w:val="009C6CBA"/>
    <w:rsid w:val="009D0A69"/>
    <w:rsid w:val="009D1E93"/>
    <w:rsid w:val="009D5192"/>
    <w:rsid w:val="009E04FB"/>
    <w:rsid w:val="009E2177"/>
    <w:rsid w:val="009E3B1C"/>
    <w:rsid w:val="009E4035"/>
    <w:rsid w:val="009E4070"/>
    <w:rsid w:val="009E4CB4"/>
    <w:rsid w:val="009E4D66"/>
    <w:rsid w:val="009F15C5"/>
    <w:rsid w:val="009F6915"/>
    <w:rsid w:val="00A010F3"/>
    <w:rsid w:val="00A0212D"/>
    <w:rsid w:val="00A04318"/>
    <w:rsid w:val="00A051B3"/>
    <w:rsid w:val="00A07E61"/>
    <w:rsid w:val="00A07EE1"/>
    <w:rsid w:val="00A1178F"/>
    <w:rsid w:val="00A13991"/>
    <w:rsid w:val="00A166C0"/>
    <w:rsid w:val="00A22E6B"/>
    <w:rsid w:val="00A31F71"/>
    <w:rsid w:val="00A37331"/>
    <w:rsid w:val="00A44ECB"/>
    <w:rsid w:val="00A459FB"/>
    <w:rsid w:val="00A4764E"/>
    <w:rsid w:val="00A507BC"/>
    <w:rsid w:val="00A5493F"/>
    <w:rsid w:val="00A571A7"/>
    <w:rsid w:val="00A5769D"/>
    <w:rsid w:val="00A628FC"/>
    <w:rsid w:val="00A63F6D"/>
    <w:rsid w:val="00A66477"/>
    <w:rsid w:val="00A71957"/>
    <w:rsid w:val="00A73505"/>
    <w:rsid w:val="00A76E98"/>
    <w:rsid w:val="00A77988"/>
    <w:rsid w:val="00A80DF0"/>
    <w:rsid w:val="00A849BB"/>
    <w:rsid w:val="00A85700"/>
    <w:rsid w:val="00A866ED"/>
    <w:rsid w:val="00A86786"/>
    <w:rsid w:val="00A90668"/>
    <w:rsid w:val="00A919BC"/>
    <w:rsid w:val="00A91B4F"/>
    <w:rsid w:val="00A91C50"/>
    <w:rsid w:val="00A955B1"/>
    <w:rsid w:val="00A968DE"/>
    <w:rsid w:val="00A97905"/>
    <w:rsid w:val="00AA0C02"/>
    <w:rsid w:val="00AA0E16"/>
    <w:rsid w:val="00AA26C9"/>
    <w:rsid w:val="00AA3679"/>
    <w:rsid w:val="00AA3F57"/>
    <w:rsid w:val="00AA53BB"/>
    <w:rsid w:val="00AA7320"/>
    <w:rsid w:val="00AB0E47"/>
    <w:rsid w:val="00AB232F"/>
    <w:rsid w:val="00AB2F54"/>
    <w:rsid w:val="00AB7924"/>
    <w:rsid w:val="00AC001F"/>
    <w:rsid w:val="00AC1604"/>
    <w:rsid w:val="00AC198A"/>
    <w:rsid w:val="00AC496D"/>
    <w:rsid w:val="00AC4D5B"/>
    <w:rsid w:val="00AC55CB"/>
    <w:rsid w:val="00AD06BE"/>
    <w:rsid w:val="00AD1837"/>
    <w:rsid w:val="00AD21B7"/>
    <w:rsid w:val="00AD2B0A"/>
    <w:rsid w:val="00AD71D5"/>
    <w:rsid w:val="00AE3A57"/>
    <w:rsid w:val="00AE40B1"/>
    <w:rsid w:val="00AE69EA"/>
    <w:rsid w:val="00AE74EF"/>
    <w:rsid w:val="00AF106B"/>
    <w:rsid w:val="00AF3541"/>
    <w:rsid w:val="00B02532"/>
    <w:rsid w:val="00B033EC"/>
    <w:rsid w:val="00B043AA"/>
    <w:rsid w:val="00B065F2"/>
    <w:rsid w:val="00B07957"/>
    <w:rsid w:val="00B1054E"/>
    <w:rsid w:val="00B13AC1"/>
    <w:rsid w:val="00B14211"/>
    <w:rsid w:val="00B14EAA"/>
    <w:rsid w:val="00B175F7"/>
    <w:rsid w:val="00B20CD9"/>
    <w:rsid w:val="00B24B34"/>
    <w:rsid w:val="00B25EFD"/>
    <w:rsid w:val="00B31DCE"/>
    <w:rsid w:val="00B3338C"/>
    <w:rsid w:val="00B33749"/>
    <w:rsid w:val="00B347F2"/>
    <w:rsid w:val="00B34AD4"/>
    <w:rsid w:val="00B35484"/>
    <w:rsid w:val="00B35C24"/>
    <w:rsid w:val="00B37D1E"/>
    <w:rsid w:val="00B42D96"/>
    <w:rsid w:val="00B43ADC"/>
    <w:rsid w:val="00B463E4"/>
    <w:rsid w:val="00B47849"/>
    <w:rsid w:val="00B47E12"/>
    <w:rsid w:val="00B53BAD"/>
    <w:rsid w:val="00B555AE"/>
    <w:rsid w:val="00B574F0"/>
    <w:rsid w:val="00B57913"/>
    <w:rsid w:val="00B653A2"/>
    <w:rsid w:val="00B66405"/>
    <w:rsid w:val="00B713B1"/>
    <w:rsid w:val="00B71923"/>
    <w:rsid w:val="00B7722B"/>
    <w:rsid w:val="00B772D6"/>
    <w:rsid w:val="00B81BEC"/>
    <w:rsid w:val="00B8335D"/>
    <w:rsid w:val="00B90881"/>
    <w:rsid w:val="00B90CF2"/>
    <w:rsid w:val="00B945BE"/>
    <w:rsid w:val="00B95790"/>
    <w:rsid w:val="00B96F66"/>
    <w:rsid w:val="00BA06E9"/>
    <w:rsid w:val="00BA732A"/>
    <w:rsid w:val="00BB1A9A"/>
    <w:rsid w:val="00BB613B"/>
    <w:rsid w:val="00BB7FED"/>
    <w:rsid w:val="00BC01EC"/>
    <w:rsid w:val="00BC4E83"/>
    <w:rsid w:val="00BC6692"/>
    <w:rsid w:val="00BD25E7"/>
    <w:rsid w:val="00BD2635"/>
    <w:rsid w:val="00BD3FBD"/>
    <w:rsid w:val="00BD5DE8"/>
    <w:rsid w:val="00BE4396"/>
    <w:rsid w:val="00BE6744"/>
    <w:rsid w:val="00BF1EB8"/>
    <w:rsid w:val="00BF232E"/>
    <w:rsid w:val="00BF449A"/>
    <w:rsid w:val="00BF4631"/>
    <w:rsid w:val="00BF6C12"/>
    <w:rsid w:val="00BF6EDC"/>
    <w:rsid w:val="00BF745E"/>
    <w:rsid w:val="00C065DE"/>
    <w:rsid w:val="00C06FC2"/>
    <w:rsid w:val="00C07CE6"/>
    <w:rsid w:val="00C12003"/>
    <w:rsid w:val="00C12C6E"/>
    <w:rsid w:val="00C13655"/>
    <w:rsid w:val="00C16256"/>
    <w:rsid w:val="00C20C95"/>
    <w:rsid w:val="00C26C6C"/>
    <w:rsid w:val="00C30120"/>
    <w:rsid w:val="00C30857"/>
    <w:rsid w:val="00C339EB"/>
    <w:rsid w:val="00C35006"/>
    <w:rsid w:val="00C4327F"/>
    <w:rsid w:val="00C44B51"/>
    <w:rsid w:val="00C46E79"/>
    <w:rsid w:val="00C501CB"/>
    <w:rsid w:val="00C502FA"/>
    <w:rsid w:val="00C5064F"/>
    <w:rsid w:val="00C5114B"/>
    <w:rsid w:val="00C60C02"/>
    <w:rsid w:val="00C73DD5"/>
    <w:rsid w:val="00C748F2"/>
    <w:rsid w:val="00C75536"/>
    <w:rsid w:val="00C76708"/>
    <w:rsid w:val="00C76DFE"/>
    <w:rsid w:val="00C81B65"/>
    <w:rsid w:val="00C81FD6"/>
    <w:rsid w:val="00C90918"/>
    <w:rsid w:val="00C91B7A"/>
    <w:rsid w:val="00CA138D"/>
    <w:rsid w:val="00CA32BD"/>
    <w:rsid w:val="00CA45B3"/>
    <w:rsid w:val="00CA4DF1"/>
    <w:rsid w:val="00CB273B"/>
    <w:rsid w:val="00CB27F1"/>
    <w:rsid w:val="00CB2EFC"/>
    <w:rsid w:val="00CB38BF"/>
    <w:rsid w:val="00CB6C32"/>
    <w:rsid w:val="00CB71D5"/>
    <w:rsid w:val="00CC2AD0"/>
    <w:rsid w:val="00CC2C8E"/>
    <w:rsid w:val="00CD3BBA"/>
    <w:rsid w:val="00CE5CF6"/>
    <w:rsid w:val="00CF5F34"/>
    <w:rsid w:val="00CF72DC"/>
    <w:rsid w:val="00D00493"/>
    <w:rsid w:val="00D02BF7"/>
    <w:rsid w:val="00D064D4"/>
    <w:rsid w:val="00D07312"/>
    <w:rsid w:val="00D102DD"/>
    <w:rsid w:val="00D1194B"/>
    <w:rsid w:val="00D1294A"/>
    <w:rsid w:val="00D12C43"/>
    <w:rsid w:val="00D167AB"/>
    <w:rsid w:val="00D27E09"/>
    <w:rsid w:val="00D30F7A"/>
    <w:rsid w:val="00D3178B"/>
    <w:rsid w:val="00D31A49"/>
    <w:rsid w:val="00D33409"/>
    <w:rsid w:val="00D35F88"/>
    <w:rsid w:val="00D36338"/>
    <w:rsid w:val="00D37FF2"/>
    <w:rsid w:val="00D40409"/>
    <w:rsid w:val="00D42772"/>
    <w:rsid w:val="00D4518A"/>
    <w:rsid w:val="00D47DCB"/>
    <w:rsid w:val="00D502F3"/>
    <w:rsid w:val="00D54562"/>
    <w:rsid w:val="00D55343"/>
    <w:rsid w:val="00D57B5A"/>
    <w:rsid w:val="00D604DB"/>
    <w:rsid w:val="00D6073D"/>
    <w:rsid w:val="00D63285"/>
    <w:rsid w:val="00D71C78"/>
    <w:rsid w:val="00D7476C"/>
    <w:rsid w:val="00D777E2"/>
    <w:rsid w:val="00D808D8"/>
    <w:rsid w:val="00D80F9A"/>
    <w:rsid w:val="00D8408D"/>
    <w:rsid w:val="00D8495E"/>
    <w:rsid w:val="00D85B0C"/>
    <w:rsid w:val="00D85C7F"/>
    <w:rsid w:val="00D87270"/>
    <w:rsid w:val="00D87C9F"/>
    <w:rsid w:val="00D92EBA"/>
    <w:rsid w:val="00D93CFF"/>
    <w:rsid w:val="00D96DB6"/>
    <w:rsid w:val="00DA088D"/>
    <w:rsid w:val="00DA2658"/>
    <w:rsid w:val="00DA3E3D"/>
    <w:rsid w:val="00DB0762"/>
    <w:rsid w:val="00DB203A"/>
    <w:rsid w:val="00DB2141"/>
    <w:rsid w:val="00DB49C9"/>
    <w:rsid w:val="00DB5A3D"/>
    <w:rsid w:val="00DB71A9"/>
    <w:rsid w:val="00DC0AA0"/>
    <w:rsid w:val="00DC4E35"/>
    <w:rsid w:val="00DC527E"/>
    <w:rsid w:val="00DC7131"/>
    <w:rsid w:val="00DD2E5B"/>
    <w:rsid w:val="00DD41D8"/>
    <w:rsid w:val="00DD49D5"/>
    <w:rsid w:val="00DE035E"/>
    <w:rsid w:val="00DE4D25"/>
    <w:rsid w:val="00DE6E40"/>
    <w:rsid w:val="00DE70F0"/>
    <w:rsid w:val="00DF06BE"/>
    <w:rsid w:val="00DF102B"/>
    <w:rsid w:val="00DF3621"/>
    <w:rsid w:val="00DF4F4B"/>
    <w:rsid w:val="00DF53EC"/>
    <w:rsid w:val="00DF5A8C"/>
    <w:rsid w:val="00DF6888"/>
    <w:rsid w:val="00E00435"/>
    <w:rsid w:val="00E004B9"/>
    <w:rsid w:val="00E01E6B"/>
    <w:rsid w:val="00E02507"/>
    <w:rsid w:val="00E068CA"/>
    <w:rsid w:val="00E1108B"/>
    <w:rsid w:val="00E12728"/>
    <w:rsid w:val="00E1453A"/>
    <w:rsid w:val="00E16AEC"/>
    <w:rsid w:val="00E16F65"/>
    <w:rsid w:val="00E22497"/>
    <w:rsid w:val="00E22F07"/>
    <w:rsid w:val="00E264B3"/>
    <w:rsid w:val="00E2692A"/>
    <w:rsid w:val="00E27152"/>
    <w:rsid w:val="00E30238"/>
    <w:rsid w:val="00E3093A"/>
    <w:rsid w:val="00E30CA0"/>
    <w:rsid w:val="00E334FB"/>
    <w:rsid w:val="00E349DB"/>
    <w:rsid w:val="00E34A81"/>
    <w:rsid w:val="00E4220E"/>
    <w:rsid w:val="00E50A1C"/>
    <w:rsid w:val="00E56030"/>
    <w:rsid w:val="00E63BF7"/>
    <w:rsid w:val="00E63E77"/>
    <w:rsid w:val="00E65E13"/>
    <w:rsid w:val="00E7521A"/>
    <w:rsid w:val="00E758E4"/>
    <w:rsid w:val="00E80532"/>
    <w:rsid w:val="00E814E9"/>
    <w:rsid w:val="00E819E7"/>
    <w:rsid w:val="00E8385D"/>
    <w:rsid w:val="00E900FC"/>
    <w:rsid w:val="00E9042F"/>
    <w:rsid w:val="00E905BF"/>
    <w:rsid w:val="00E90837"/>
    <w:rsid w:val="00E90A4C"/>
    <w:rsid w:val="00E90CAA"/>
    <w:rsid w:val="00E92F89"/>
    <w:rsid w:val="00E968C3"/>
    <w:rsid w:val="00E97344"/>
    <w:rsid w:val="00E978E3"/>
    <w:rsid w:val="00EA3B6D"/>
    <w:rsid w:val="00EA429D"/>
    <w:rsid w:val="00EA72A9"/>
    <w:rsid w:val="00EA7318"/>
    <w:rsid w:val="00EB091E"/>
    <w:rsid w:val="00EB096D"/>
    <w:rsid w:val="00EB0C68"/>
    <w:rsid w:val="00EB2BF8"/>
    <w:rsid w:val="00EB5016"/>
    <w:rsid w:val="00EC2CE0"/>
    <w:rsid w:val="00EC39F3"/>
    <w:rsid w:val="00EC45A4"/>
    <w:rsid w:val="00EC47A0"/>
    <w:rsid w:val="00ED6FF8"/>
    <w:rsid w:val="00ED755D"/>
    <w:rsid w:val="00EE0CD4"/>
    <w:rsid w:val="00EE20D7"/>
    <w:rsid w:val="00EE468A"/>
    <w:rsid w:val="00EE7023"/>
    <w:rsid w:val="00EE748A"/>
    <w:rsid w:val="00EF00E5"/>
    <w:rsid w:val="00EF048F"/>
    <w:rsid w:val="00EF222B"/>
    <w:rsid w:val="00EF2B7D"/>
    <w:rsid w:val="00EF5883"/>
    <w:rsid w:val="00EF5C6D"/>
    <w:rsid w:val="00EF6D06"/>
    <w:rsid w:val="00F0033F"/>
    <w:rsid w:val="00F06BA7"/>
    <w:rsid w:val="00F1302F"/>
    <w:rsid w:val="00F2033D"/>
    <w:rsid w:val="00F25BC5"/>
    <w:rsid w:val="00F26A78"/>
    <w:rsid w:val="00F359E1"/>
    <w:rsid w:val="00F451A2"/>
    <w:rsid w:val="00F470C2"/>
    <w:rsid w:val="00F51079"/>
    <w:rsid w:val="00F5255B"/>
    <w:rsid w:val="00F57929"/>
    <w:rsid w:val="00F60504"/>
    <w:rsid w:val="00F6303F"/>
    <w:rsid w:val="00F63FEA"/>
    <w:rsid w:val="00F64733"/>
    <w:rsid w:val="00F728FE"/>
    <w:rsid w:val="00F7469B"/>
    <w:rsid w:val="00F74D24"/>
    <w:rsid w:val="00F75130"/>
    <w:rsid w:val="00F75A60"/>
    <w:rsid w:val="00F7726C"/>
    <w:rsid w:val="00F80777"/>
    <w:rsid w:val="00F8285C"/>
    <w:rsid w:val="00F861A3"/>
    <w:rsid w:val="00F904A2"/>
    <w:rsid w:val="00F90626"/>
    <w:rsid w:val="00F93736"/>
    <w:rsid w:val="00F9573C"/>
    <w:rsid w:val="00F965A0"/>
    <w:rsid w:val="00F9787E"/>
    <w:rsid w:val="00FA0DAB"/>
    <w:rsid w:val="00FA65D9"/>
    <w:rsid w:val="00FA76E9"/>
    <w:rsid w:val="00FB200E"/>
    <w:rsid w:val="00FB6884"/>
    <w:rsid w:val="00FB7CC5"/>
    <w:rsid w:val="00FC01DF"/>
    <w:rsid w:val="00FD0088"/>
    <w:rsid w:val="00FD0501"/>
    <w:rsid w:val="00FD4F44"/>
    <w:rsid w:val="00FE63C1"/>
    <w:rsid w:val="00FE6C42"/>
    <w:rsid w:val="00FF0EA7"/>
    <w:rsid w:val="00FF2585"/>
    <w:rsid w:val="00FF26D3"/>
    <w:rsid w:val="00FF27D6"/>
    <w:rsid w:val="00FF4F59"/>
    <w:rsid w:val="00FF56CC"/>
    <w:rsid w:val="00FF5984"/>
    <w:rsid w:val="00FF5F24"/>
    <w:rsid w:val="00FF7720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700EC6D"/>
  <w15:docId w15:val="{A0B691D2-07CE-45D6-8BFE-7C8969A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3C29"/>
    <w:rPr>
      <w:sz w:val="24"/>
      <w:szCs w:val="24"/>
    </w:rPr>
  </w:style>
  <w:style w:type="paragraph" w:styleId="Heading1">
    <w:name w:val="heading 1"/>
    <w:basedOn w:val="Normal"/>
    <w:qFormat/>
    <w:rsid w:val="00667C7F"/>
    <w:pPr>
      <w:spacing w:before="100" w:beforeAutospacing="1" w:after="100" w:afterAutospacing="1"/>
      <w:outlineLvl w:val="0"/>
    </w:pPr>
    <w:rPr>
      <w:rFonts w:ascii="Verdana" w:hAnsi="Verdana"/>
      <w:b/>
      <w:bCs/>
      <w:color w:val="3B4FAE"/>
      <w:kern w:val="36"/>
    </w:rPr>
  </w:style>
  <w:style w:type="paragraph" w:styleId="Heading3">
    <w:name w:val="heading 3"/>
    <w:basedOn w:val="Normal"/>
    <w:next w:val="Normal"/>
    <w:qFormat/>
    <w:rsid w:val="00FE6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67C7F"/>
    <w:pPr>
      <w:spacing w:before="100" w:beforeAutospacing="1" w:after="100" w:afterAutospacing="1"/>
    </w:pPr>
  </w:style>
  <w:style w:type="paragraph" w:customStyle="1" w:styleId="Default">
    <w:name w:val="Default"/>
    <w:rsid w:val="00A919B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Professional">
    <w:name w:val="Table Professional"/>
    <w:basedOn w:val="TableNormal"/>
    <w:rsid w:val="00041F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5B5028"/>
    <w:rPr>
      <w:color w:val="BF0023"/>
      <w:u w:val="single"/>
    </w:rPr>
  </w:style>
  <w:style w:type="paragraph" w:styleId="BalloonText">
    <w:name w:val="Balloon Text"/>
    <w:basedOn w:val="Normal"/>
    <w:semiHidden/>
    <w:rsid w:val="00863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A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7799"/>
  </w:style>
  <w:style w:type="paragraph" w:customStyle="1" w:styleId="DocumentLabel">
    <w:name w:val="Document Label"/>
    <w:basedOn w:val="Normal"/>
    <w:next w:val="BodyText"/>
    <w:rsid w:val="00D167AB"/>
    <w:pPr>
      <w:keepNext/>
      <w:keepLines/>
      <w:pBdr>
        <w:top w:val="single" w:sz="24" w:space="15" w:color="auto"/>
        <w:bottom w:val="single" w:sz="6" w:space="15" w:color="auto"/>
      </w:pBdr>
      <w:tabs>
        <w:tab w:val="left" w:pos="1080"/>
      </w:tabs>
      <w:spacing w:before="60" w:after="60"/>
    </w:pPr>
    <w:rPr>
      <w:rFonts w:ascii="Arial" w:hAnsi="Arial"/>
      <w:b/>
      <w:caps/>
      <w:spacing w:val="180"/>
      <w:kern w:val="28"/>
      <w:sz w:val="28"/>
      <w:szCs w:val="20"/>
    </w:rPr>
  </w:style>
  <w:style w:type="paragraph" w:styleId="BodyText">
    <w:name w:val="Body Text"/>
    <w:basedOn w:val="Normal"/>
    <w:rsid w:val="00D167AB"/>
    <w:pPr>
      <w:spacing w:after="120"/>
    </w:pPr>
  </w:style>
  <w:style w:type="paragraph" w:styleId="ListParagraph">
    <w:name w:val="List Paragraph"/>
    <w:basedOn w:val="Normal"/>
    <w:uiPriority w:val="34"/>
    <w:qFormat/>
    <w:rsid w:val="00DF4F4B"/>
    <w:pPr>
      <w:ind w:left="720"/>
      <w:contextualSpacing/>
    </w:pPr>
  </w:style>
  <w:style w:type="paragraph" w:styleId="Revision">
    <w:name w:val="Revision"/>
    <w:hidden/>
    <w:uiPriority w:val="99"/>
    <w:semiHidden/>
    <w:rsid w:val="006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8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2076123059">
                      <w:marLeft w:val="37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23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2088456541">
                      <w:marLeft w:val="37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gov/cgi-bin/goodbye.cgi?www4.law.cornell.edu/uscode/html/uscode15/usc_sec_15_00000080---b004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B33E-5FDC-473C-9BA8-48F4AA32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Links>
    <vt:vector size="6" baseType="variant"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http://www.sec.gov/cgi-bin/goodbye.cgi?www4.law.cornell.edu/uscode/html/uscode15/usc_sec_15_00000080---b004a.html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 Kennedy</dc:creator>
  <cp:lastModifiedBy>Jennifer Yelverton</cp:lastModifiedBy>
  <cp:revision>3</cp:revision>
  <cp:lastPrinted>2012-03-22T18:12:00Z</cp:lastPrinted>
  <dcterms:created xsi:type="dcterms:W3CDTF">2019-09-09T18:02:00Z</dcterms:created>
  <dcterms:modified xsi:type="dcterms:W3CDTF">2019-09-09T20:23:00Z</dcterms:modified>
</cp:coreProperties>
</file>